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C5" w:rsidRPr="00CF50A9" w:rsidRDefault="00CF50A9" w:rsidP="00CF50A9">
      <w:pPr>
        <w:rPr>
          <w:rFonts w:ascii="Stolzl Light" w:hAnsi="Stolzl Light"/>
          <w:sz w:val="36"/>
        </w:rPr>
      </w:pPr>
      <w:r w:rsidRPr="00CF50A9">
        <w:rPr>
          <w:noProof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1CF03E6D" wp14:editId="4797A3C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101850" cy="1011871"/>
            <wp:effectExtent l="0" t="0" r="0" b="0"/>
            <wp:wrapTight wrapText="bothSides">
              <wp:wrapPolygon edited="0">
                <wp:start x="10180" y="0"/>
                <wp:lineTo x="5482" y="407"/>
                <wp:lineTo x="1762" y="3254"/>
                <wp:lineTo x="1175" y="8542"/>
                <wp:lineTo x="1175" y="10576"/>
                <wp:lineTo x="1762" y="15864"/>
                <wp:lineTo x="6460" y="19525"/>
                <wp:lineTo x="10180" y="20339"/>
                <wp:lineTo x="11159" y="20339"/>
                <wp:lineTo x="11159" y="19525"/>
                <wp:lineTo x="16053" y="16271"/>
                <wp:lineTo x="16053" y="13831"/>
                <wp:lineTo x="20360" y="13017"/>
                <wp:lineTo x="20947" y="8949"/>
                <wp:lineTo x="19577" y="6508"/>
                <wp:lineTo x="20164" y="4068"/>
                <wp:lineTo x="18990" y="3254"/>
                <wp:lineTo x="11159" y="0"/>
                <wp:lineTo x="10180" y="0"/>
              </wp:wrapPolygon>
            </wp:wrapTight>
            <wp:docPr id="2" name="Picture 2" descr="https://governorsforschools.org.uk/app/uploads/2022/06/Conferenc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vernorsforschools.org.uk/app/uploads/2022/06/Conference-Log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F3" w:rsidRPr="00CF50A9">
        <w:rPr>
          <w:rFonts w:ascii="Stolzl Bold" w:hAnsi="Stolzl Bold"/>
          <w:b/>
          <w:sz w:val="36"/>
        </w:rPr>
        <w:t>Keeping Children Safe in Education 2022</w:t>
      </w:r>
    </w:p>
    <w:p w:rsidR="00CF50A9" w:rsidRDefault="00CF50A9" w:rsidP="009B7C51">
      <w:pPr>
        <w:rPr>
          <w:rFonts w:ascii="Stolzl Light" w:hAnsi="Stolzl Light"/>
        </w:rPr>
      </w:pPr>
    </w:p>
    <w:p w:rsidR="00CF50A9" w:rsidRDefault="00CF50A9" w:rsidP="009B7C51">
      <w:pPr>
        <w:rPr>
          <w:rFonts w:ascii="Stolzl Light" w:hAnsi="Stolzl Light"/>
        </w:rPr>
      </w:pPr>
    </w:p>
    <w:p w:rsidR="004967C5" w:rsidRPr="00222C22" w:rsidRDefault="004967C5" w:rsidP="009B7C51">
      <w:pPr>
        <w:rPr>
          <w:rFonts w:ascii="Stolzl Light" w:hAnsi="Stolzl Light"/>
        </w:rPr>
      </w:pPr>
      <w:r w:rsidRPr="00222C22">
        <w:rPr>
          <w:rFonts w:ascii="Stolzl Light" w:hAnsi="Stolzl Light"/>
        </w:rPr>
        <w:t>Please see below for a list of questions</w:t>
      </w:r>
      <w:r>
        <w:rPr>
          <w:rFonts w:ascii="Stolzl Light" w:hAnsi="Stolzl Light"/>
        </w:rPr>
        <w:t xml:space="preserve"> asked at </w:t>
      </w:r>
      <w:r w:rsidRPr="00222C22">
        <w:rPr>
          <w:rFonts w:ascii="Stolzl Light" w:hAnsi="Stolzl Light"/>
        </w:rPr>
        <w:t>the</w:t>
      </w:r>
      <w:r>
        <w:rPr>
          <w:rFonts w:ascii="Stolzl Light" w:hAnsi="Stolzl Light"/>
        </w:rPr>
        <w:t xml:space="preserve"> </w:t>
      </w:r>
      <w:r w:rsidRPr="009B7C51">
        <w:rPr>
          <w:rFonts w:ascii="Stolzl Light" w:hAnsi="Stolzl Light"/>
        </w:rPr>
        <w:t>‘</w:t>
      </w:r>
      <w:r w:rsidR="006450F3">
        <w:rPr>
          <w:rFonts w:ascii="Stolzl Light" w:hAnsi="Stolzl Light"/>
        </w:rPr>
        <w:t>Keeping Children Safe in Education 2022</w:t>
      </w:r>
      <w:r w:rsidR="009B7C51" w:rsidRPr="009B7C51">
        <w:rPr>
          <w:rFonts w:ascii="Stolzl Light" w:hAnsi="Stolzl Light"/>
        </w:rPr>
        <w:t>’</w:t>
      </w:r>
      <w:r w:rsidR="009B7C51">
        <w:rPr>
          <w:rFonts w:ascii="Stolzl Light" w:hAnsi="Stolzl Light"/>
        </w:rPr>
        <w:t xml:space="preserve"> </w:t>
      </w:r>
      <w:r w:rsidR="00563303">
        <w:rPr>
          <w:rFonts w:ascii="Stolzl Light" w:hAnsi="Stolzl Light"/>
        </w:rPr>
        <w:t>session of the G</w:t>
      </w:r>
      <w:r>
        <w:rPr>
          <w:rFonts w:ascii="Stolzl Light" w:hAnsi="Stolzl Light"/>
        </w:rPr>
        <w:t>overnors for Schools</w:t>
      </w:r>
      <w:r w:rsidR="00011CFA">
        <w:rPr>
          <w:rFonts w:ascii="Stolzl Light" w:hAnsi="Stolzl Light"/>
        </w:rPr>
        <w:t xml:space="preserve"> C</w:t>
      </w:r>
      <w:r w:rsidR="006450F3">
        <w:rPr>
          <w:rFonts w:ascii="Stolzl Light" w:hAnsi="Stolzl Light"/>
        </w:rPr>
        <w:t>onference 2022, on Wednesday, 27</w:t>
      </w:r>
      <w:r w:rsidRPr="00222C22">
        <w:rPr>
          <w:rFonts w:ascii="Stolzl Light" w:hAnsi="Stolzl Light"/>
          <w:vertAlign w:val="superscript"/>
        </w:rPr>
        <w:t>th</w:t>
      </w:r>
      <w:r w:rsidR="009B7C51">
        <w:rPr>
          <w:rFonts w:ascii="Stolzl Light" w:hAnsi="Stolzl Light"/>
        </w:rPr>
        <w:t xml:space="preserve"> September from</w:t>
      </w:r>
      <w:r w:rsidR="006450F3">
        <w:rPr>
          <w:rFonts w:ascii="Stolzl Light" w:hAnsi="Stolzl Light"/>
        </w:rPr>
        <w:t xml:space="preserve"> 4pm – 4:30pm</w:t>
      </w:r>
      <w:r>
        <w:rPr>
          <w:rFonts w:ascii="Stolzl Light" w:hAnsi="Stolzl Light"/>
        </w:rPr>
        <w:t>.</w:t>
      </w:r>
      <w:r w:rsidR="00CF50A9" w:rsidRPr="00CF50A9">
        <w:rPr>
          <w:noProof/>
          <w:sz w:val="36"/>
          <w:lang w:eastAsia="en-GB"/>
        </w:rPr>
        <w:t xml:space="preserve"> </w:t>
      </w:r>
    </w:p>
    <w:p w:rsidR="00011CFA" w:rsidRDefault="00011CFA" w:rsidP="00011C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7220"/>
      </w:tblGrid>
      <w:tr w:rsidR="009B7C51" w:rsidRPr="00A31B13" w:rsidTr="00CF50A9">
        <w:tc>
          <w:tcPr>
            <w:tcW w:w="4390" w:type="dxa"/>
          </w:tcPr>
          <w:p w:rsidR="009B7C51" w:rsidRPr="00A31B13" w:rsidRDefault="006450F3" w:rsidP="00860DC3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The current KCSIE seems to posit an equivalence between the threats (online and otherwise) offered by misogyny and misandry, which</w:t>
            </w:r>
            <w:r w:rsidR="00860DC3">
              <w:rPr>
                <w:rFonts w:ascii="Stolzl Light" w:hAnsi="Stolzl Light" w:cstheme="majorHAnsi"/>
              </w:rPr>
              <w:t>,</w:t>
            </w:r>
            <w:r w:rsidRPr="00A31B13">
              <w:rPr>
                <w:rFonts w:ascii="Stolzl Light" w:hAnsi="Stolzl Light" w:cstheme="majorHAnsi"/>
              </w:rPr>
              <w:t xml:space="preserve"> </w:t>
            </w:r>
            <w:r w:rsidR="00860DC3">
              <w:rPr>
                <w:rFonts w:ascii="Stolzl Light" w:hAnsi="Stolzl Light" w:cstheme="majorHAnsi"/>
              </w:rPr>
              <w:t xml:space="preserve">given </w:t>
            </w:r>
            <w:r w:rsidRPr="00A31B13">
              <w:rPr>
                <w:rFonts w:ascii="Stolzl Light" w:hAnsi="Stolzl Light" w:cstheme="majorHAnsi"/>
              </w:rPr>
              <w:t>the problem of "</w:t>
            </w:r>
            <w:proofErr w:type="spellStart"/>
            <w:r w:rsidRPr="00A31B13">
              <w:rPr>
                <w:rFonts w:ascii="Stolzl Light" w:hAnsi="Stolzl Light" w:cstheme="majorHAnsi"/>
              </w:rPr>
              <w:t>incel</w:t>
            </w:r>
            <w:proofErr w:type="spellEnd"/>
            <w:r w:rsidRPr="00A31B13">
              <w:rPr>
                <w:rFonts w:ascii="Stolzl Light" w:hAnsi="Stolzl Light" w:cstheme="majorHAnsi"/>
              </w:rPr>
              <w:t xml:space="preserve">" activity (especially online) seems </w:t>
            </w:r>
            <w:r w:rsidR="00860DC3">
              <w:rPr>
                <w:rFonts w:ascii="Stolzl Light" w:hAnsi="Stolzl Light" w:cstheme="majorHAnsi"/>
              </w:rPr>
              <w:t xml:space="preserve">like </w:t>
            </w:r>
            <w:r w:rsidRPr="00A31B13">
              <w:rPr>
                <w:rFonts w:ascii="Stolzl Light" w:hAnsi="Stolzl Light" w:cstheme="majorHAnsi"/>
              </w:rPr>
              <w:t xml:space="preserve">a mistake. Will there be a consultation process again this school year about KCSIE where points like this </w:t>
            </w:r>
            <w:r w:rsidR="00860DC3">
              <w:rPr>
                <w:rFonts w:ascii="Stolzl Light" w:hAnsi="Stolzl Light" w:cstheme="majorHAnsi"/>
              </w:rPr>
              <w:t>can be raised</w:t>
            </w:r>
            <w:r w:rsidRPr="00A31B13">
              <w:rPr>
                <w:rFonts w:ascii="Stolzl Light" w:hAnsi="Stolzl Light" w:cstheme="majorHAnsi"/>
              </w:rPr>
              <w:t>?</w:t>
            </w:r>
          </w:p>
        </w:tc>
        <w:tc>
          <w:tcPr>
            <w:tcW w:w="4626" w:type="dxa"/>
          </w:tcPr>
          <w:p w:rsidR="009B7C51" w:rsidRPr="00A31B13" w:rsidRDefault="006450F3" w:rsidP="006450F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Yes</w:t>
            </w:r>
            <w:r w:rsidR="00860DC3">
              <w:rPr>
                <w:rFonts w:ascii="Stolzl Light" w:hAnsi="Stolzl Light" w:cstheme="majorHAnsi"/>
              </w:rPr>
              <w:t>. E</w:t>
            </w:r>
            <w:r w:rsidRPr="00A31B13">
              <w:rPr>
                <w:rFonts w:ascii="Stolzl Light" w:hAnsi="Stolzl Light" w:cstheme="majorHAnsi"/>
              </w:rPr>
              <w:t>ach year the KCSIE document goes to consultation before it is published. This is usually in January.</w:t>
            </w:r>
          </w:p>
        </w:tc>
      </w:tr>
      <w:tr w:rsidR="009B7C51" w:rsidRPr="00A31B13" w:rsidTr="00CF50A9">
        <w:tc>
          <w:tcPr>
            <w:tcW w:w="4390" w:type="dxa"/>
          </w:tcPr>
          <w:p w:rsidR="009B7C51" w:rsidRPr="00A31B13" w:rsidRDefault="00A31B13" w:rsidP="006450F3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 xml:space="preserve">You refer to 'incidents’ being dealt within the safeguarding reports to governors. Do you mean as part of aggregated data or as </w:t>
            </w:r>
            <w:r w:rsidRPr="00A31B13">
              <w:rPr>
                <w:rFonts w:ascii="Stolzl Light" w:hAnsi="Stolzl Light" w:cstheme="majorHAnsi"/>
              </w:rPr>
              <w:lastRenderedPageBreak/>
              <w:t>(anonymised) references to specific incidents, or both?</w:t>
            </w:r>
          </w:p>
        </w:tc>
        <w:tc>
          <w:tcPr>
            <w:tcW w:w="4626" w:type="dxa"/>
          </w:tcPr>
          <w:p w:rsidR="009B7C51" w:rsidRPr="00A31B13" w:rsidRDefault="00A31B13" w:rsidP="006450F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lastRenderedPageBreak/>
              <w:t>Aggregated report – Giving general information about the type of reports that have been made not the detail or names – Generic areas such as CSE/ Nudes and Semi nudes/ Online bullying</w:t>
            </w:r>
            <w:r w:rsidR="00CF50A9">
              <w:rPr>
                <w:rFonts w:ascii="Stolzl Light" w:hAnsi="Stolzl Light" w:cstheme="majorHAnsi"/>
              </w:rPr>
              <w:t>.</w:t>
            </w:r>
          </w:p>
        </w:tc>
      </w:tr>
      <w:tr w:rsidR="009B7C51" w:rsidRPr="00A31B13" w:rsidTr="00CF50A9">
        <w:tc>
          <w:tcPr>
            <w:tcW w:w="4390" w:type="dxa"/>
          </w:tcPr>
          <w:p w:rsidR="009B7C51" w:rsidRPr="00A31B13" w:rsidRDefault="00A31B13" w:rsidP="00011CFA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Is there a list of keywords/phrases that schools should test termly to see what happens when entered on both filtering/monitoring sides?</w:t>
            </w:r>
          </w:p>
        </w:tc>
        <w:tc>
          <w:tcPr>
            <w:tcW w:w="4626" w:type="dxa"/>
          </w:tcPr>
          <w:p w:rsidR="009B7C51" w:rsidRPr="00A31B13" w:rsidRDefault="00A31B13" w:rsidP="006450F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Yes</w:t>
            </w:r>
            <w:r w:rsidR="00860DC3">
              <w:rPr>
                <w:rFonts w:ascii="Stolzl Light" w:hAnsi="Stolzl Light" w:cstheme="majorHAnsi"/>
              </w:rPr>
              <w:t>,</w:t>
            </w:r>
            <w:r w:rsidRPr="00A31B13">
              <w:rPr>
                <w:rFonts w:ascii="Stolzl Light" w:hAnsi="Stolzl Light" w:cstheme="majorHAnsi"/>
              </w:rPr>
              <w:t xml:space="preserve"> this is mentioned within KCSIE</w:t>
            </w:r>
            <w:r w:rsidR="00CF50A9">
              <w:rPr>
                <w:rFonts w:ascii="Stolzl Light" w:hAnsi="Stolzl Light" w:cstheme="majorHAnsi"/>
              </w:rPr>
              <w:t>.</w:t>
            </w:r>
          </w:p>
        </w:tc>
      </w:tr>
      <w:tr w:rsidR="006450F3" w:rsidRPr="00A31B13" w:rsidTr="00CF50A9">
        <w:tc>
          <w:tcPr>
            <w:tcW w:w="4390" w:type="dxa"/>
          </w:tcPr>
          <w:p w:rsidR="006450F3" w:rsidRPr="00A31B13" w:rsidRDefault="00A31B13" w:rsidP="00011CFA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Hi, Can you please clarify how the monitoring fits in with GDPR regulation - I understand the need to monitor for safeguarding, but how are we able to ensure it does not contravene GDPR?</w:t>
            </w:r>
          </w:p>
        </w:tc>
        <w:tc>
          <w:tcPr>
            <w:tcW w:w="4626" w:type="dxa"/>
          </w:tcPr>
          <w:p w:rsidR="006450F3" w:rsidRDefault="00A31B13" w:rsidP="00860DC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 xml:space="preserve">GDPR consent and/or the protection of special category data can be overridden if (under DPA 18 schedule 8), processing is necessary for the protection and </w:t>
            </w:r>
            <w:proofErr w:type="spellStart"/>
            <w:r w:rsidRPr="00A31B13">
              <w:rPr>
                <w:rFonts w:ascii="Stolzl Light" w:hAnsi="Stolzl Light" w:cstheme="majorHAnsi"/>
              </w:rPr>
              <w:t>safguarding</w:t>
            </w:r>
            <w:proofErr w:type="spellEnd"/>
            <w:r w:rsidRPr="00A31B13">
              <w:rPr>
                <w:rFonts w:ascii="Stolzl Light" w:hAnsi="Stolzl Light" w:cstheme="majorHAnsi"/>
              </w:rPr>
              <w:t xml:space="preserve"> of children and/or individuals at risk</w:t>
            </w:r>
            <w:r w:rsidR="00860DC3">
              <w:rPr>
                <w:rFonts w:ascii="Stolzl Light" w:hAnsi="Stolzl Light" w:cstheme="majorHAnsi"/>
              </w:rPr>
              <w:t>.</w:t>
            </w:r>
            <w:r w:rsidRPr="00A31B13">
              <w:rPr>
                <w:rFonts w:ascii="Stolzl Light" w:hAnsi="Stolzl Light" w:cstheme="majorHAnsi"/>
              </w:rPr>
              <w:t xml:space="preserve"> Please find the legislation link below. </w:t>
            </w:r>
            <w:hyperlink r:id="rId6" w:history="1">
              <w:r w:rsidR="00860DC3" w:rsidRPr="00CB204F">
                <w:rPr>
                  <w:rStyle w:val="Hyperlink"/>
                  <w:rFonts w:ascii="Stolzl Light" w:hAnsi="Stolzl Light" w:cstheme="majorHAnsi"/>
                </w:rPr>
                <w:t>https://www.legislation.gov.uk/ukpga/2018/12/schedule/8/crossheading/safeguarding-ofchildren-and-of-individuals-at-risk</w:t>
              </w:r>
            </w:hyperlink>
            <w:r w:rsidR="00CF50A9">
              <w:rPr>
                <w:rStyle w:val="Hyperlink"/>
                <w:rFonts w:ascii="Stolzl Light" w:hAnsi="Stolzl Light" w:cstheme="majorHAnsi"/>
              </w:rPr>
              <w:t>.</w:t>
            </w:r>
          </w:p>
          <w:p w:rsidR="00860DC3" w:rsidRPr="00A31B13" w:rsidRDefault="00860DC3" w:rsidP="00860DC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</w:p>
        </w:tc>
      </w:tr>
      <w:tr w:rsidR="006450F3" w:rsidRPr="00A31B13" w:rsidTr="00CF50A9">
        <w:tc>
          <w:tcPr>
            <w:tcW w:w="4390" w:type="dxa"/>
          </w:tcPr>
          <w:p w:rsidR="006450F3" w:rsidRPr="00A31B13" w:rsidRDefault="00A31B13" w:rsidP="00860DC3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As part of safeguarding, Ofsted has c</w:t>
            </w:r>
            <w:r w:rsidR="00860DC3">
              <w:rPr>
                <w:rFonts w:ascii="Stolzl Light" w:hAnsi="Stolzl Light" w:cstheme="majorHAnsi"/>
              </w:rPr>
              <w:t>riticised some governing boards’ recruitment processes</w:t>
            </w:r>
            <w:r w:rsidRPr="00A31B13">
              <w:rPr>
                <w:rFonts w:ascii="Stolzl Light" w:hAnsi="Stolzl Light" w:cstheme="majorHAnsi"/>
              </w:rPr>
              <w:t>-</w:t>
            </w:r>
            <w:r w:rsidR="00860DC3">
              <w:rPr>
                <w:rFonts w:ascii="Stolzl Light" w:hAnsi="Stolzl Light" w:cstheme="majorHAnsi"/>
              </w:rPr>
              <w:t xml:space="preserve"> how can governors evidence safe practice,</w:t>
            </w:r>
            <w:r w:rsidRPr="00A31B13">
              <w:rPr>
                <w:rFonts w:ascii="Stolzl Light" w:hAnsi="Stolzl Light" w:cstheme="majorHAnsi"/>
              </w:rPr>
              <w:t xml:space="preserve"> other than checking SCR </w:t>
            </w:r>
            <w:r w:rsidRPr="00A31B13">
              <w:rPr>
                <w:rFonts w:ascii="Stolzl Light" w:hAnsi="Stolzl Light" w:cstheme="majorHAnsi"/>
              </w:rPr>
              <w:lastRenderedPageBreak/>
              <w:t>or one person on recruitment panel being safer recruitment trained?</w:t>
            </w:r>
          </w:p>
        </w:tc>
        <w:tc>
          <w:tcPr>
            <w:tcW w:w="4626" w:type="dxa"/>
          </w:tcPr>
          <w:p w:rsidR="006450F3" w:rsidRPr="00A31B13" w:rsidRDefault="00A31B13" w:rsidP="006450F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lastRenderedPageBreak/>
              <w:t>Some schools have gone through a mock recruitment as part of training to ensure all governors / staff understand saf</w:t>
            </w:r>
            <w:r w:rsidR="00860DC3">
              <w:rPr>
                <w:rFonts w:ascii="Stolzl Light" w:hAnsi="Stolzl Light" w:cstheme="majorHAnsi"/>
              </w:rPr>
              <w:t>er recruitment and can apply it.</w:t>
            </w:r>
          </w:p>
        </w:tc>
      </w:tr>
      <w:tr w:rsidR="006450F3" w:rsidRPr="00A31B13" w:rsidTr="00CF50A9">
        <w:tc>
          <w:tcPr>
            <w:tcW w:w="4390" w:type="dxa"/>
          </w:tcPr>
          <w:p w:rsidR="006450F3" w:rsidRPr="00A31B13" w:rsidRDefault="00A31B13" w:rsidP="00A31B13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Is Prevent training compulsory for all Governors?</w:t>
            </w:r>
          </w:p>
        </w:tc>
        <w:tc>
          <w:tcPr>
            <w:tcW w:w="4626" w:type="dxa"/>
          </w:tcPr>
          <w:p w:rsidR="006450F3" w:rsidRPr="00A31B13" w:rsidRDefault="00A31B13" w:rsidP="006450F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It</w:t>
            </w:r>
            <w:r w:rsidR="00860DC3">
              <w:rPr>
                <w:rFonts w:ascii="Stolzl Light" w:hAnsi="Stolzl Light" w:cstheme="majorHAnsi"/>
              </w:rPr>
              <w:t>’</w:t>
            </w:r>
            <w:r w:rsidRPr="00A31B13">
              <w:rPr>
                <w:rFonts w:ascii="Stolzl Light" w:hAnsi="Stolzl Light" w:cstheme="majorHAnsi"/>
              </w:rPr>
              <w:t>s not compulsory but it is highly recommended.</w:t>
            </w:r>
          </w:p>
        </w:tc>
      </w:tr>
      <w:tr w:rsidR="006450F3" w:rsidRPr="00A31B13" w:rsidTr="00CF50A9">
        <w:tc>
          <w:tcPr>
            <w:tcW w:w="4390" w:type="dxa"/>
          </w:tcPr>
          <w:p w:rsidR="006450F3" w:rsidRPr="00A31B13" w:rsidRDefault="00A31B13" w:rsidP="00011CFA">
            <w:pPr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>What can governors do about content being shared / viewed on pupils</w:t>
            </w:r>
            <w:r w:rsidR="00860DC3">
              <w:rPr>
                <w:rFonts w:ascii="Stolzl Light" w:hAnsi="Stolzl Light" w:cstheme="majorHAnsi"/>
              </w:rPr>
              <w:t>’</w:t>
            </w:r>
            <w:r w:rsidRPr="00A31B13">
              <w:rPr>
                <w:rFonts w:ascii="Stolzl Light" w:hAnsi="Stolzl Light" w:cstheme="majorHAnsi"/>
              </w:rPr>
              <w:t xml:space="preserve"> personal devices when they see that the content they are trying to view is filtered on school equipment? How does the home li</w:t>
            </w:r>
            <w:r w:rsidR="00CF50A9">
              <w:rPr>
                <w:rFonts w:ascii="Stolzl Light" w:hAnsi="Stolzl Light" w:cstheme="majorHAnsi"/>
              </w:rPr>
              <w:t>fe and school life work together?</w:t>
            </w:r>
            <w:bookmarkStart w:id="0" w:name="_GoBack"/>
            <w:bookmarkEnd w:id="0"/>
          </w:p>
        </w:tc>
        <w:tc>
          <w:tcPr>
            <w:tcW w:w="4626" w:type="dxa"/>
          </w:tcPr>
          <w:p w:rsidR="006450F3" w:rsidRPr="00A31B13" w:rsidRDefault="00A31B13" w:rsidP="00860DC3">
            <w:pPr>
              <w:spacing w:before="100" w:beforeAutospacing="1" w:after="100" w:afterAutospacing="1"/>
              <w:rPr>
                <w:rFonts w:ascii="Stolzl Light" w:hAnsi="Stolzl Light" w:cstheme="majorHAnsi"/>
              </w:rPr>
            </w:pPr>
            <w:r w:rsidRPr="00A31B13">
              <w:rPr>
                <w:rFonts w:ascii="Stolzl Light" w:hAnsi="Stolzl Light" w:cstheme="majorHAnsi"/>
              </w:rPr>
              <w:t xml:space="preserve">Schools should ensure that parents have the tools to </w:t>
            </w:r>
            <w:r w:rsidR="00860DC3">
              <w:rPr>
                <w:rFonts w:ascii="Stolzl Light" w:hAnsi="Stolzl Light" w:cstheme="majorHAnsi"/>
              </w:rPr>
              <w:t>safeguard</w:t>
            </w:r>
            <w:r w:rsidRPr="00A31B13">
              <w:rPr>
                <w:rFonts w:ascii="Stolzl Light" w:hAnsi="Stolzl Light" w:cstheme="majorHAnsi"/>
              </w:rPr>
              <w:t xml:space="preserve"> children in the home and wider world. Regular and consistent information, advice</w:t>
            </w:r>
            <w:r w:rsidR="00860DC3">
              <w:rPr>
                <w:rFonts w:ascii="Stolzl Light" w:hAnsi="Stolzl Light" w:cstheme="majorHAnsi"/>
              </w:rPr>
              <w:t>,</w:t>
            </w:r>
            <w:r w:rsidRPr="00A31B13">
              <w:rPr>
                <w:rFonts w:ascii="Stolzl Light" w:hAnsi="Stolzl Light" w:cstheme="majorHAnsi"/>
              </w:rPr>
              <w:t xml:space="preserve"> and guidance to support parents and their children is vital. Examples of resources sent to parents might include how to put home filtering on your broadband, starting a conversation with you child about their life online or parental controls on social media (that you know you are having issues with in school)</w:t>
            </w:r>
            <w:r w:rsidR="00F95C0B">
              <w:rPr>
                <w:rFonts w:ascii="Stolzl Light" w:hAnsi="Stolzl Light" w:cstheme="majorHAnsi"/>
              </w:rPr>
              <w:t>.</w:t>
            </w:r>
          </w:p>
        </w:tc>
      </w:tr>
    </w:tbl>
    <w:p w:rsidR="009B7C51" w:rsidRDefault="009B7C51" w:rsidP="00011CFA"/>
    <w:p w:rsidR="004967C5" w:rsidRDefault="004967C5" w:rsidP="004967C5"/>
    <w:sectPr w:rsidR="00496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lzl Light">
    <w:panose1 w:val="000004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Bold">
    <w:panose1 w:val="000008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E63"/>
    <w:multiLevelType w:val="multilevel"/>
    <w:tmpl w:val="244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20097"/>
    <w:multiLevelType w:val="multilevel"/>
    <w:tmpl w:val="A52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F0244"/>
    <w:multiLevelType w:val="multilevel"/>
    <w:tmpl w:val="2B6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C5"/>
    <w:rsid w:val="00011CFA"/>
    <w:rsid w:val="004967C5"/>
    <w:rsid w:val="00563303"/>
    <w:rsid w:val="006450F3"/>
    <w:rsid w:val="00672388"/>
    <w:rsid w:val="006B0BD9"/>
    <w:rsid w:val="00813EBA"/>
    <w:rsid w:val="00860DC3"/>
    <w:rsid w:val="009602A4"/>
    <w:rsid w:val="009B7C51"/>
    <w:rsid w:val="00A31B13"/>
    <w:rsid w:val="00AB0E86"/>
    <w:rsid w:val="00CF50A9"/>
    <w:rsid w:val="00EA5A84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7470"/>
  <w15:chartTrackingRefBased/>
  <w15:docId w15:val="{BB5983F4-5F1F-4801-AFB1-7C6BD9C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F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11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2018/12/schedule/8/crossheading/safeguarding-ofchildren-and-of-individuals-at-ri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Callard</dc:creator>
  <cp:keywords/>
  <dc:description/>
  <cp:lastModifiedBy>Ashley Callard</cp:lastModifiedBy>
  <cp:revision>6</cp:revision>
  <dcterms:created xsi:type="dcterms:W3CDTF">2022-10-14T08:06:00Z</dcterms:created>
  <dcterms:modified xsi:type="dcterms:W3CDTF">2022-11-09T14:50:00Z</dcterms:modified>
</cp:coreProperties>
</file>