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7C5" w:rsidRPr="00610171" w:rsidRDefault="00610171" w:rsidP="00610171">
      <w:pPr>
        <w:rPr>
          <w:rFonts w:ascii="Stolzl Light" w:hAnsi="Stolzl Light"/>
          <w:sz w:val="36"/>
        </w:rPr>
      </w:pPr>
      <w:r w:rsidRPr="00610171">
        <w:rPr>
          <w:noProof/>
          <w:sz w:val="52"/>
          <w:lang w:eastAsia="en-GB"/>
        </w:rPr>
        <w:drawing>
          <wp:anchor distT="0" distB="0" distL="114300" distR="114300" simplePos="0" relativeHeight="251659264" behindDoc="1" locked="0" layoutInCell="1" allowOverlap="1" wp14:anchorId="1CF03E6D" wp14:editId="4797A3C1">
            <wp:simplePos x="0" y="0"/>
            <wp:positionH relativeFrom="margin">
              <wp:align>right</wp:align>
            </wp:positionH>
            <wp:positionV relativeFrom="paragraph">
              <wp:posOffset>88900</wp:posOffset>
            </wp:positionV>
            <wp:extent cx="2101850" cy="1011871"/>
            <wp:effectExtent l="0" t="0" r="0" b="0"/>
            <wp:wrapTight wrapText="bothSides">
              <wp:wrapPolygon edited="0">
                <wp:start x="10180" y="0"/>
                <wp:lineTo x="5482" y="407"/>
                <wp:lineTo x="1762" y="3254"/>
                <wp:lineTo x="1175" y="8542"/>
                <wp:lineTo x="1175" y="10576"/>
                <wp:lineTo x="1762" y="15864"/>
                <wp:lineTo x="6460" y="19525"/>
                <wp:lineTo x="10180" y="20339"/>
                <wp:lineTo x="11159" y="20339"/>
                <wp:lineTo x="11159" y="19525"/>
                <wp:lineTo x="16053" y="16271"/>
                <wp:lineTo x="16053" y="13831"/>
                <wp:lineTo x="20360" y="13017"/>
                <wp:lineTo x="20947" y="8949"/>
                <wp:lineTo x="19577" y="6508"/>
                <wp:lineTo x="20164" y="4068"/>
                <wp:lineTo x="18990" y="3254"/>
                <wp:lineTo x="11159" y="0"/>
                <wp:lineTo x="10180" y="0"/>
              </wp:wrapPolygon>
            </wp:wrapTight>
            <wp:docPr id="2" name="Picture 2" descr="https://governorsforschools.org.uk/app/uploads/2022/06/Conference-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overnorsforschools.org.uk/app/uploads/2022/06/Conference-Logo-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1850" cy="1011871"/>
                    </a:xfrm>
                    <a:prstGeom prst="rect">
                      <a:avLst/>
                    </a:prstGeom>
                    <a:noFill/>
                    <a:ln>
                      <a:noFill/>
                    </a:ln>
                  </pic:spPr>
                </pic:pic>
              </a:graphicData>
            </a:graphic>
            <wp14:sizeRelH relativeFrom="page">
              <wp14:pctWidth>0</wp14:pctWidth>
            </wp14:sizeRelH>
            <wp14:sizeRelV relativeFrom="page">
              <wp14:pctHeight>0</wp14:pctHeight>
            </wp14:sizeRelV>
          </wp:anchor>
        </w:drawing>
      </w:r>
      <w:r w:rsidR="00FA15E6" w:rsidRPr="00610171">
        <w:rPr>
          <w:rFonts w:ascii="Stolzl Bold" w:hAnsi="Stolzl Bold"/>
          <w:b/>
          <w:sz w:val="36"/>
        </w:rPr>
        <w:t>Pupil Premium</w:t>
      </w:r>
    </w:p>
    <w:p w:rsidR="00FA15E6" w:rsidRPr="00FA15E6" w:rsidRDefault="004967C5" w:rsidP="00FA15E6">
      <w:pPr>
        <w:rPr>
          <w:rFonts w:ascii="Stolzl Light" w:hAnsi="Stolzl Light"/>
        </w:rPr>
      </w:pPr>
      <w:r w:rsidRPr="00222C22">
        <w:rPr>
          <w:rFonts w:ascii="Stolzl Light" w:hAnsi="Stolzl Light"/>
        </w:rPr>
        <w:t>Please see below for a list of questions</w:t>
      </w:r>
      <w:r>
        <w:rPr>
          <w:rFonts w:ascii="Stolzl Light" w:hAnsi="Stolzl Light"/>
        </w:rPr>
        <w:t xml:space="preserve"> asked at </w:t>
      </w:r>
      <w:r w:rsidRPr="00222C22">
        <w:rPr>
          <w:rFonts w:ascii="Stolzl Light" w:hAnsi="Stolzl Light"/>
        </w:rPr>
        <w:t>the</w:t>
      </w:r>
      <w:r>
        <w:rPr>
          <w:rFonts w:ascii="Stolzl Light" w:hAnsi="Stolzl Light"/>
        </w:rPr>
        <w:t xml:space="preserve"> ‘</w:t>
      </w:r>
      <w:r w:rsidR="00FA15E6">
        <w:rPr>
          <w:rFonts w:ascii="Stolzl Light" w:hAnsi="Stolzl Light"/>
        </w:rPr>
        <w:t>Pupil Premium</w:t>
      </w:r>
      <w:r w:rsidR="00600B94">
        <w:rPr>
          <w:rFonts w:ascii="Stolzl Light" w:hAnsi="Stolzl Light"/>
        </w:rPr>
        <w:t>’ session of the G</w:t>
      </w:r>
      <w:r>
        <w:rPr>
          <w:rFonts w:ascii="Stolzl Light" w:hAnsi="Stolzl Light"/>
        </w:rPr>
        <w:t>overnors for Schools</w:t>
      </w:r>
      <w:r w:rsidR="00FA15E6">
        <w:rPr>
          <w:rFonts w:ascii="Stolzl Light" w:hAnsi="Stolzl Light"/>
        </w:rPr>
        <w:t xml:space="preserve"> Conference 2022, on Wednesday, 28</w:t>
      </w:r>
      <w:r w:rsidRPr="00222C22">
        <w:rPr>
          <w:rFonts w:ascii="Stolzl Light" w:hAnsi="Stolzl Light"/>
          <w:vertAlign w:val="superscript"/>
        </w:rPr>
        <w:t>th</w:t>
      </w:r>
      <w:r>
        <w:rPr>
          <w:rFonts w:ascii="Stolzl Light" w:hAnsi="Stolzl Light"/>
        </w:rPr>
        <w:t xml:space="preserve"> September from</w:t>
      </w:r>
      <w:r w:rsidR="00FA15E6">
        <w:rPr>
          <w:rFonts w:ascii="Stolzl Light" w:hAnsi="Stolzl Light"/>
        </w:rPr>
        <w:t xml:space="preserve"> 2pm</w:t>
      </w:r>
      <w:r>
        <w:rPr>
          <w:rFonts w:ascii="Stolzl Light" w:hAnsi="Stolzl Light"/>
        </w:rPr>
        <w:t>–</w:t>
      </w:r>
      <w:r w:rsidR="00FA15E6">
        <w:rPr>
          <w:rFonts w:ascii="Stolzl Light" w:hAnsi="Stolzl Light"/>
        </w:rPr>
        <w:t>3pm</w:t>
      </w:r>
      <w:r>
        <w:rPr>
          <w:rFonts w:ascii="Stolzl Light" w:hAnsi="Stolzl Light"/>
        </w:rPr>
        <w:t>.</w:t>
      </w:r>
    </w:p>
    <w:p w:rsidR="004967C5" w:rsidRDefault="004967C5" w:rsidP="004967C5"/>
    <w:tbl>
      <w:tblPr>
        <w:tblStyle w:val="TableGrid"/>
        <w:tblW w:w="0" w:type="auto"/>
        <w:tblLook w:val="04A0" w:firstRow="1" w:lastRow="0" w:firstColumn="1" w:lastColumn="0" w:noHBand="0" w:noVBand="1"/>
      </w:tblPr>
      <w:tblGrid>
        <w:gridCol w:w="4179"/>
        <w:gridCol w:w="4837"/>
      </w:tblGrid>
      <w:tr w:rsidR="004967C5" w:rsidRPr="00FA15E6" w:rsidTr="00DC6256">
        <w:tc>
          <w:tcPr>
            <w:tcW w:w="4179" w:type="dxa"/>
          </w:tcPr>
          <w:p w:rsidR="00FA15E6" w:rsidRPr="00FA15E6" w:rsidRDefault="00FA15E6" w:rsidP="00FA15E6">
            <w:pPr>
              <w:rPr>
                <w:rFonts w:ascii="Stolzl Light" w:hAnsi="Stolzl Light"/>
                <w:b/>
                <w:bCs/>
                <w:i/>
                <w:iCs/>
              </w:rPr>
            </w:pPr>
            <w:r w:rsidRPr="00FA15E6">
              <w:rPr>
                <w:rFonts w:ascii="Stolzl Light" w:hAnsi="Stolzl Light"/>
                <w:b/>
                <w:bCs/>
                <w:i/>
                <w:iCs/>
              </w:rPr>
              <w:t>Why does</w:t>
            </w:r>
            <w:r w:rsidR="00600B94">
              <w:rPr>
                <w:rFonts w:ascii="Stolzl Light" w:hAnsi="Stolzl Light"/>
                <w:b/>
                <w:bCs/>
                <w:i/>
                <w:iCs/>
              </w:rPr>
              <w:t xml:space="preserve"> the Education Endowment Foundation</w:t>
            </w:r>
            <w:r w:rsidRPr="00FA15E6">
              <w:rPr>
                <w:rFonts w:ascii="Stolzl Light" w:hAnsi="Stolzl Light"/>
                <w:b/>
                <w:bCs/>
                <w:i/>
                <w:iCs/>
              </w:rPr>
              <w:t xml:space="preserve"> </w:t>
            </w:r>
            <w:r w:rsidR="00600B94">
              <w:rPr>
                <w:rFonts w:ascii="Stolzl Light" w:hAnsi="Stolzl Light"/>
                <w:b/>
                <w:bCs/>
                <w:i/>
                <w:iCs/>
              </w:rPr>
              <w:t>(</w:t>
            </w:r>
            <w:r w:rsidRPr="00FA15E6">
              <w:rPr>
                <w:rFonts w:ascii="Stolzl Light" w:hAnsi="Stolzl Light"/>
                <w:b/>
                <w:bCs/>
                <w:i/>
                <w:iCs/>
              </w:rPr>
              <w:t>EEF</w:t>
            </w:r>
            <w:r w:rsidR="00600B94">
              <w:rPr>
                <w:rFonts w:ascii="Stolzl Light" w:hAnsi="Stolzl Light"/>
                <w:b/>
                <w:bCs/>
                <w:i/>
                <w:iCs/>
              </w:rPr>
              <w:t>)</w:t>
            </w:r>
            <w:r w:rsidRPr="00FA15E6">
              <w:rPr>
                <w:rFonts w:ascii="Stolzl Light" w:hAnsi="Stolzl Light"/>
                <w:b/>
                <w:bCs/>
                <w:i/>
                <w:iCs/>
              </w:rPr>
              <w:t xml:space="preserve"> not work more at the secondary school level?</w:t>
            </w:r>
          </w:p>
          <w:p w:rsidR="00FA15E6" w:rsidRPr="00FA15E6" w:rsidRDefault="00FA15E6" w:rsidP="00FA15E6">
            <w:pPr>
              <w:rPr>
                <w:rFonts w:ascii="Stolzl Light" w:hAnsi="Stolzl Light"/>
              </w:rPr>
            </w:pPr>
          </w:p>
          <w:p w:rsidR="004967C5" w:rsidRPr="00FA15E6" w:rsidRDefault="004967C5" w:rsidP="00FA15E6">
            <w:pPr>
              <w:rPr>
                <w:rFonts w:ascii="Stolzl Light" w:hAnsi="Stolzl Light"/>
              </w:rPr>
            </w:pPr>
          </w:p>
        </w:tc>
        <w:tc>
          <w:tcPr>
            <w:tcW w:w="4837" w:type="dxa"/>
          </w:tcPr>
          <w:p w:rsidR="00FA15E6" w:rsidRPr="00FA15E6" w:rsidRDefault="00FA15E6" w:rsidP="00FA15E6">
            <w:pPr>
              <w:rPr>
                <w:rFonts w:ascii="Stolzl Light" w:hAnsi="Stolzl Light"/>
              </w:rPr>
            </w:pPr>
            <w:r w:rsidRPr="00FA15E6">
              <w:rPr>
                <w:rFonts w:ascii="Stolzl Light" w:hAnsi="Stolzl Light"/>
              </w:rPr>
              <w:t xml:space="preserve">Becky comments: </w:t>
            </w:r>
          </w:p>
          <w:p w:rsidR="00FA15E6" w:rsidRPr="00FA15E6" w:rsidRDefault="00FA15E6" w:rsidP="00FA15E6">
            <w:pPr>
              <w:rPr>
                <w:rFonts w:ascii="Stolzl Light" w:hAnsi="Stolzl Light"/>
              </w:rPr>
            </w:pPr>
          </w:p>
          <w:p w:rsidR="00FA15E6" w:rsidRPr="00FA15E6" w:rsidRDefault="00FA15E6" w:rsidP="00FA15E6">
            <w:pPr>
              <w:rPr>
                <w:rFonts w:ascii="Stolzl Light" w:hAnsi="Stolzl Light"/>
              </w:rPr>
            </w:pPr>
            <w:r w:rsidRPr="00FA15E6">
              <w:rPr>
                <w:rFonts w:ascii="Stolzl Light" w:hAnsi="Stolzl Light"/>
              </w:rPr>
              <w:t>The EEF endeavours to support the education of disadvantaged children and young people from 2-19 years old. We synthesise evi</w:t>
            </w:r>
            <w:r w:rsidR="00600B94">
              <w:rPr>
                <w:rFonts w:ascii="Stolzl Light" w:hAnsi="Stolzl Light"/>
              </w:rPr>
              <w:t xml:space="preserve">dence across the full age range. As such, </w:t>
            </w:r>
            <w:r w:rsidRPr="00FA15E6">
              <w:rPr>
                <w:rFonts w:ascii="Stolzl Light" w:hAnsi="Stolzl Light"/>
              </w:rPr>
              <w:t>our evidence reviews and guidance reports for teach</w:t>
            </w:r>
            <w:r w:rsidR="00600B94">
              <w:rPr>
                <w:rFonts w:ascii="Stolzl Light" w:hAnsi="Stolzl Light"/>
              </w:rPr>
              <w:t>ers offer a spread across early years, primary, s</w:t>
            </w:r>
            <w:r w:rsidRPr="00FA15E6">
              <w:rPr>
                <w:rFonts w:ascii="Stolzl Light" w:hAnsi="Stolzl Light"/>
              </w:rPr>
              <w:t>econdary</w:t>
            </w:r>
            <w:r w:rsidR="00600B94">
              <w:rPr>
                <w:rFonts w:ascii="Stolzl Light" w:hAnsi="Stolzl Light"/>
              </w:rPr>
              <w:t>, and (to a lesser extent) p</w:t>
            </w:r>
            <w:r w:rsidRPr="00FA15E6">
              <w:rPr>
                <w:rFonts w:ascii="Stolzl Light" w:hAnsi="Stolzl Light"/>
              </w:rPr>
              <w:t>ost-16; and we continue to commission evidence reviews in all areas. Similarly</w:t>
            </w:r>
            <w:r w:rsidR="00600B94">
              <w:rPr>
                <w:rFonts w:ascii="Stolzl Light" w:hAnsi="Stolzl Light"/>
              </w:rPr>
              <w:t>,</w:t>
            </w:r>
            <w:r w:rsidRPr="00FA15E6">
              <w:rPr>
                <w:rFonts w:ascii="Stolzl Light" w:hAnsi="Stolzl Light"/>
              </w:rPr>
              <w:t xml:space="preserve"> our direct work with schools </w:t>
            </w:r>
            <w:r w:rsidR="00600B94">
              <w:rPr>
                <w:rFonts w:ascii="Stolzl Light" w:hAnsi="Stolzl Light"/>
              </w:rPr>
              <w:t>spans</w:t>
            </w:r>
            <w:r w:rsidRPr="00FA15E6">
              <w:rPr>
                <w:rFonts w:ascii="Stolzl Light" w:hAnsi="Stolzl Light"/>
              </w:rPr>
              <w:t xml:space="preserve"> the age range: our Research School Network includes nursery, primary</w:t>
            </w:r>
            <w:r w:rsidR="00600B94">
              <w:rPr>
                <w:rFonts w:ascii="Stolzl Light" w:hAnsi="Stolzl Light"/>
              </w:rPr>
              <w:t>,</w:t>
            </w:r>
            <w:r w:rsidRPr="00FA15E6">
              <w:rPr>
                <w:rFonts w:ascii="Stolzl Light" w:hAnsi="Stolzl Light"/>
              </w:rPr>
              <w:t xml:space="preserve"> and secondary schools across England, who offer training for teachers across the full age range.</w:t>
            </w:r>
          </w:p>
          <w:p w:rsidR="00FA15E6" w:rsidRPr="00FA15E6" w:rsidRDefault="00FA15E6" w:rsidP="00FA15E6">
            <w:pPr>
              <w:rPr>
                <w:rFonts w:ascii="Stolzl Light" w:hAnsi="Stolzl Light"/>
              </w:rPr>
            </w:pPr>
          </w:p>
          <w:p w:rsidR="00FA15E6" w:rsidRPr="00FA15E6" w:rsidRDefault="00FA15E6" w:rsidP="00FA15E6">
            <w:pPr>
              <w:rPr>
                <w:rFonts w:ascii="Stolzl Light" w:hAnsi="Stolzl Light"/>
              </w:rPr>
            </w:pPr>
            <w:r w:rsidRPr="00FA15E6">
              <w:rPr>
                <w:rFonts w:ascii="Stolzl Light" w:hAnsi="Stolzl Light"/>
              </w:rPr>
              <w:t>However, the majority of our programmatic research to date has focused on school-age children. Expanding beyond the 5-16 age range requires focus, and we are e</w:t>
            </w:r>
            <w:r w:rsidR="00600B94">
              <w:rPr>
                <w:rFonts w:ascii="Stolzl Light" w:hAnsi="Stolzl Light"/>
              </w:rPr>
              <w:t>xpanding selectively and slowly</w:t>
            </w:r>
            <w:r w:rsidRPr="00FA15E6">
              <w:rPr>
                <w:rFonts w:ascii="Stolzl Light" w:hAnsi="Stolzl Light"/>
              </w:rPr>
              <w:t xml:space="preserve"> to ensure we retain the quality we hope we are known for.</w:t>
            </w:r>
          </w:p>
          <w:p w:rsidR="00FA15E6" w:rsidRPr="00FA15E6" w:rsidRDefault="00FA15E6" w:rsidP="00FA15E6">
            <w:pPr>
              <w:rPr>
                <w:rFonts w:ascii="Stolzl Light" w:hAnsi="Stolzl Light"/>
              </w:rPr>
            </w:pPr>
          </w:p>
          <w:p w:rsidR="00FA15E6" w:rsidRPr="00FA15E6" w:rsidRDefault="00FA15E6" w:rsidP="00FA15E6">
            <w:pPr>
              <w:rPr>
                <w:rFonts w:ascii="Stolzl Light" w:hAnsi="Stolzl Light"/>
              </w:rPr>
            </w:pPr>
            <w:r w:rsidRPr="00FA15E6">
              <w:rPr>
                <w:rFonts w:ascii="Stolzl Light" w:hAnsi="Stolzl Light"/>
              </w:rPr>
              <w:t>To date, the EEF ha</w:t>
            </w:r>
            <w:r w:rsidR="00600B94">
              <w:rPr>
                <w:rFonts w:ascii="Stolzl Light" w:hAnsi="Stolzl Light"/>
              </w:rPr>
              <w:t>s commissioned trials from the early years through to p</w:t>
            </w:r>
            <w:r w:rsidRPr="00FA15E6">
              <w:rPr>
                <w:rFonts w:ascii="Stolzl Light" w:hAnsi="Stolzl Light"/>
              </w:rPr>
              <w:t xml:space="preserve">ost-16. Initially, a disproportionately high proportion of our trials were in Key Stage 2, which is something we have been addressing over the last three years by increasing research commissioning in both secondary and the younger age groups. Sadly, most of the trials commissioned over this period were affected by the </w:t>
            </w:r>
            <w:r w:rsidR="00600B94">
              <w:rPr>
                <w:rFonts w:ascii="Stolzl Light" w:hAnsi="Stolzl Light"/>
              </w:rPr>
              <w:t>COVID</w:t>
            </w:r>
            <w:r w:rsidRPr="00FA15E6">
              <w:rPr>
                <w:rFonts w:ascii="Stolzl Light" w:hAnsi="Stolzl Light"/>
              </w:rPr>
              <w:t>-19 p</w:t>
            </w:r>
            <w:r w:rsidR="00600B94">
              <w:rPr>
                <w:rFonts w:ascii="Stolzl Light" w:hAnsi="Stolzl Light"/>
              </w:rPr>
              <w:t xml:space="preserve">andemic, </w:t>
            </w:r>
            <w:r w:rsidRPr="00FA15E6">
              <w:rPr>
                <w:rFonts w:ascii="Stolzl Light" w:hAnsi="Stolzl Light"/>
              </w:rPr>
              <w:t>so were unable to produce robust impact data. For this reason, our website still has fewer secondary-</w:t>
            </w:r>
            <w:r w:rsidRPr="00FA15E6">
              <w:rPr>
                <w:rFonts w:ascii="Stolzl Light" w:hAnsi="Stolzl Light"/>
              </w:rPr>
              <w:lastRenderedPageBreak/>
              <w:t>based tria</w:t>
            </w:r>
            <w:r w:rsidR="00600B94">
              <w:rPr>
                <w:rFonts w:ascii="Stolzl Light" w:hAnsi="Stolzl Light"/>
              </w:rPr>
              <w:t>l results than we would prefer.</w:t>
            </w:r>
          </w:p>
          <w:p w:rsidR="004967C5" w:rsidRPr="00FA15E6" w:rsidRDefault="004967C5" w:rsidP="00DC6256">
            <w:pPr>
              <w:rPr>
                <w:rFonts w:ascii="Stolzl Light" w:hAnsi="Stolzl Light"/>
              </w:rPr>
            </w:pPr>
          </w:p>
        </w:tc>
      </w:tr>
      <w:tr w:rsidR="004967C5" w:rsidRPr="00FA15E6" w:rsidTr="00DC6256">
        <w:tc>
          <w:tcPr>
            <w:tcW w:w="4179" w:type="dxa"/>
          </w:tcPr>
          <w:p w:rsidR="00FA15E6" w:rsidRPr="00FA15E6" w:rsidRDefault="00FA15E6" w:rsidP="00FA15E6">
            <w:pPr>
              <w:rPr>
                <w:rFonts w:ascii="Stolzl Light" w:hAnsi="Stolzl Light"/>
                <w:b/>
                <w:bCs/>
                <w:i/>
                <w:iCs/>
              </w:rPr>
            </w:pPr>
            <w:r w:rsidRPr="00FA15E6">
              <w:rPr>
                <w:rFonts w:ascii="Stolzl Light" w:hAnsi="Stolzl Light"/>
                <w:b/>
                <w:bCs/>
                <w:i/>
                <w:iCs/>
              </w:rPr>
              <w:lastRenderedPageBreak/>
              <w:t>Can you please provide examples of how Go</w:t>
            </w:r>
            <w:r w:rsidR="00600B94">
              <w:rPr>
                <w:rFonts w:ascii="Stolzl Light" w:hAnsi="Stolzl Light"/>
                <w:b/>
                <w:bCs/>
                <w:i/>
                <w:iCs/>
              </w:rPr>
              <w:t>vernors might identify families eligible for free school meals who are not claiming them?</w:t>
            </w:r>
          </w:p>
          <w:p w:rsidR="00FA15E6" w:rsidRPr="00FA15E6" w:rsidRDefault="00FA15E6" w:rsidP="00FA15E6">
            <w:pPr>
              <w:rPr>
                <w:rFonts w:ascii="Stolzl Light" w:hAnsi="Stolzl Light"/>
              </w:rPr>
            </w:pPr>
          </w:p>
          <w:p w:rsidR="004967C5" w:rsidRPr="00FA15E6" w:rsidRDefault="004967C5" w:rsidP="00FA15E6">
            <w:pPr>
              <w:rPr>
                <w:rFonts w:ascii="Stolzl Light" w:hAnsi="Stolzl Light"/>
              </w:rPr>
            </w:pPr>
          </w:p>
        </w:tc>
        <w:tc>
          <w:tcPr>
            <w:tcW w:w="4837" w:type="dxa"/>
          </w:tcPr>
          <w:p w:rsidR="00FA15E6" w:rsidRPr="00FA15E6" w:rsidRDefault="00FA15E6" w:rsidP="00DC6256">
            <w:pPr>
              <w:rPr>
                <w:rFonts w:ascii="Stolzl Light" w:hAnsi="Stolzl Light"/>
              </w:rPr>
            </w:pPr>
            <w:r w:rsidRPr="00FA15E6">
              <w:rPr>
                <w:rFonts w:ascii="Stolzl Light" w:hAnsi="Stolzl Light"/>
              </w:rPr>
              <w:t xml:space="preserve">Georgina comments: </w:t>
            </w:r>
          </w:p>
          <w:p w:rsidR="00FA15E6" w:rsidRPr="00FA15E6" w:rsidRDefault="00FA15E6" w:rsidP="00DC6256">
            <w:pPr>
              <w:rPr>
                <w:rFonts w:ascii="Stolzl Light" w:hAnsi="Stolzl Light"/>
              </w:rPr>
            </w:pPr>
          </w:p>
          <w:p w:rsidR="00FA15E6" w:rsidRPr="00FA15E6" w:rsidRDefault="00FA15E6" w:rsidP="00FA15E6">
            <w:pPr>
              <w:rPr>
                <w:rFonts w:ascii="Stolzl Light" w:hAnsi="Stolzl Light"/>
              </w:rPr>
            </w:pPr>
            <w:r w:rsidRPr="00FA15E6">
              <w:rPr>
                <w:rFonts w:ascii="Stolzl Light" w:hAnsi="Stolzl Light"/>
                <w:b/>
                <w:bCs/>
              </w:rPr>
              <w:t>Communicate clearly and regularly about free school meals</w:t>
            </w:r>
            <w:r w:rsidR="00600B94">
              <w:rPr>
                <w:rFonts w:ascii="Stolzl Light" w:hAnsi="Stolzl Light"/>
              </w:rPr>
              <w:t>: Use all</w:t>
            </w:r>
            <w:r w:rsidRPr="00FA15E6">
              <w:rPr>
                <w:rFonts w:ascii="Stolzl Light" w:hAnsi="Stolzl Light"/>
              </w:rPr>
              <w:t xml:space="preserve"> the communication methods available at your school</w:t>
            </w:r>
            <w:r w:rsidR="00600B94">
              <w:rPr>
                <w:rFonts w:ascii="Stolzl Light" w:hAnsi="Stolzl Light"/>
              </w:rPr>
              <w:t>,</w:t>
            </w:r>
            <w:r w:rsidRPr="00FA15E6">
              <w:rPr>
                <w:rFonts w:ascii="Stolzl Light" w:hAnsi="Stolzl Light"/>
              </w:rPr>
              <w:t xml:space="preserve"> including emails, texts</w:t>
            </w:r>
            <w:r w:rsidR="00600B94">
              <w:rPr>
                <w:rFonts w:ascii="Stolzl Light" w:hAnsi="Stolzl Light"/>
              </w:rPr>
              <w:t>,</w:t>
            </w:r>
            <w:r w:rsidRPr="00FA15E6">
              <w:rPr>
                <w:rFonts w:ascii="Stolzl Light" w:hAnsi="Stolzl Light"/>
              </w:rPr>
              <w:t xml:space="preserve"> and newsletters to regularly remind families about free school meals. Make sure letters about dinner money debts also include details on how to check free school meal eligibility</w:t>
            </w:r>
            <w:r w:rsidR="00600B94">
              <w:rPr>
                <w:rFonts w:ascii="Stolzl Light" w:hAnsi="Stolzl Light"/>
              </w:rPr>
              <w:t>,</w:t>
            </w:r>
            <w:r w:rsidRPr="00FA15E6">
              <w:rPr>
                <w:rFonts w:ascii="Stolzl Light" w:hAnsi="Stolzl Light"/>
              </w:rPr>
              <w:t xml:space="preserve"> as it is useful for families who are finding it difficult to pay for lunches to check if they are missing out on a free school meal entitlement. Promote the wider benefits of free school meal registration by informing parents about the initial school funds received through Pupil Premium for each eligible child. </w:t>
            </w:r>
          </w:p>
          <w:p w:rsidR="00FA15E6" w:rsidRPr="00FA15E6" w:rsidRDefault="00FA15E6" w:rsidP="00FA15E6">
            <w:pPr>
              <w:rPr>
                <w:rFonts w:ascii="Stolzl Light" w:hAnsi="Stolzl Light"/>
              </w:rPr>
            </w:pPr>
          </w:p>
          <w:p w:rsidR="00FA15E6" w:rsidRPr="00FA15E6" w:rsidRDefault="00FA15E6" w:rsidP="00FA15E6">
            <w:pPr>
              <w:rPr>
                <w:rFonts w:ascii="Stolzl Light" w:hAnsi="Stolzl Light"/>
              </w:rPr>
            </w:pPr>
            <w:r w:rsidRPr="00FA15E6">
              <w:rPr>
                <w:rFonts w:ascii="Stolzl Light" w:hAnsi="Stolzl Light"/>
                <w:b/>
                <w:bCs/>
              </w:rPr>
              <w:t>Support with the application process:</w:t>
            </w:r>
            <w:r w:rsidRPr="00FA15E6">
              <w:rPr>
                <w:rFonts w:ascii="Stolzl Light" w:hAnsi="Stolzl Light"/>
              </w:rPr>
              <w:t xml:space="preserve"> Free school meal registration is not currently automatic</w:t>
            </w:r>
            <w:r w:rsidR="00600B94">
              <w:rPr>
                <w:rFonts w:ascii="Stolzl Light" w:hAnsi="Stolzl Light"/>
              </w:rPr>
              <w:t>,</w:t>
            </w:r>
            <w:r w:rsidRPr="00FA15E6">
              <w:rPr>
                <w:rFonts w:ascii="Stolzl Light" w:hAnsi="Stolzl Light"/>
              </w:rPr>
              <w:t xml:space="preserve"> meaning families and schools need to apply even if they are eligible </w:t>
            </w:r>
            <w:r w:rsidR="00600B94">
              <w:rPr>
                <w:rFonts w:ascii="Stolzl Light" w:hAnsi="Stolzl Light"/>
              </w:rPr>
              <w:t>if they want to receive</w:t>
            </w:r>
            <w:r w:rsidRPr="00FA15E6">
              <w:rPr>
                <w:rFonts w:ascii="Stolzl Light" w:hAnsi="Stolzl Light"/>
              </w:rPr>
              <w:t xml:space="preserve"> support. Some schools have offered support to families with f</w:t>
            </w:r>
            <w:r w:rsidR="00600B94">
              <w:rPr>
                <w:rFonts w:ascii="Stolzl Light" w:hAnsi="Stolzl Light"/>
              </w:rPr>
              <w:t xml:space="preserve">illing in application forms, including </w:t>
            </w:r>
            <w:r w:rsidRPr="00FA15E6">
              <w:rPr>
                <w:rFonts w:ascii="Stolzl Light" w:hAnsi="Stolzl Light"/>
              </w:rPr>
              <w:t>both online and paper-based options. Other schools ask all parents to fill in free school meal application forms when their children start school as standard or if there are any in-year transfers. This is particularly helpful for ensuring younger primary students are identified and that the school receives Pupil Premium when all children are receiving a Universal Infant Free School Meal (UIFSM). Some schools also ask parents to provide their National Insurance number when their child first enrols</w:t>
            </w:r>
            <w:r w:rsidR="00600B94">
              <w:rPr>
                <w:rFonts w:ascii="Stolzl Light" w:hAnsi="Stolzl Light"/>
              </w:rPr>
              <w:t>,</w:t>
            </w:r>
            <w:r w:rsidRPr="00FA15E6">
              <w:rPr>
                <w:rFonts w:ascii="Stolzl Light" w:hAnsi="Stolzl Light"/>
              </w:rPr>
              <w:t xml:space="preserve"> which can be securely stored and used to check eligibility at any time if family circumstances change. Other schools have also offered incentives for families who fill in free school meal forms</w:t>
            </w:r>
            <w:r w:rsidR="00600B94">
              <w:rPr>
                <w:rFonts w:ascii="Stolzl Light" w:hAnsi="Stolzl Light"/>
              </w:rPr>
              <w:t>,</w:t>
            </w:r>
            <w:r w:rsidRPr="00FA15E6">
              <w:rPr>
                <w:rFonts w:ascii="Stolzl Light" w:hAnsi="Stolzl Light"/>
              </w:rPr>
              <w:t xml:space="preserve"> regardless of eligibility such as a free scho</w:t>
            </w:r>
            <w:r w:rsidR="00600B94">
              <w:rPr>
                <w:rFonts w:ascii="Stolzl Light" w:hAnsi="Stolzl Light"/>
              </w:rPr>
              <w:t>ol jumper, book bag or P.E. kit. T</w:t>
            </w:r>
            <w:r w:rsidRPr="00FA15E6">
              <w:rPr>
                <w:rFonts w:ascii="Stolzl Light" w:hAnsi="Stolzl Light"/>
              </w:rPr>
              <w:t xml:space="preserve">his is a great way not only of making sure </w:t>
            </w:r>
            <w:r w:rsidRPr="00FA15E6">
              <w:rPr>
                <w:rFonts w:ascii="Stolzl Light" w:hAnsi="Stolzl Light"/>
              </w:rPr>
              <w:lastRenderedPageBreak/>
              <w:t>that everyone eligible is identified</w:t>
            </w:r>
            <w:r w:rsidR="00600B94">
              <w:rPr>
                <w:rFonts w:ascii="Stolzl Light" w:hAnsi="Stolzl Light"/>
              </w:rPr>
              <w:t>, but</w:t>
            </w:r>
            <w:r w:rsidRPr="00FA15E6">
              <w:rPr>
                <w:rFonts w:ascii="Stolzl Light" w:hAnsi="Stolzl Light"/>
              </w:rPr>
              <w:t xml:space="preserve"> of supporting families with the costs of starting school. More ideas are available here: </w:t>
            </w:r>
            <w:hyperlink r:id="rId5" w:history="1">
              <w:r w:rsidRPr="00FA15E6">
                <w:rPr>
                  <w:rStyle w:val="Hyperlink"/>
                  <w:rFonts w:ascii="Stolzl Light" w:hAnsi="Stolzl Light"/>
                </w:rPr>
                <w:t>Fixing Lunch: The case for expanding free school meals | CPAG</w:t>
              </w:r>
            </w:hyperlink>
            <w:r w:rsidRPr="00FA15E6">
              <w:rPr>
                <w:rFonts w:ascii="Stolzl Light" w:hAnsi="Stolzl Light"/>
              </w:rPr>
              <w:t xml:space="preserve">, </w:t>
            </w:r>
            <w:hyperlink r:id="rId6" w:history="1">
              <w:r w:rsidRPr="00FA15E6">
                <w:rPr>
                  <w:rStyle w:val="Hyperlink"/>
                  <w:rFonts w:ascii="Stolzl Light" w:hAnsi="Stolzl Light"/>
                </w:rPr>
                <w:t>The Cost of Missing Lunchtime: A briefing on free school meals in the North East | CPAG</w:t>
              </w:r>
            </w:hyperlink>
          </w:p>
          <w:p w:rsidR="00FA15E6" w:rsidRPr="00FA15E6" w:rsidRDefault="00FA15E6" w:rsidP="00FA15E6">
            <w:pPr>
              <w:rPr>
                <w:rFonts w:ascii="Stolzl Light" w:hAnsi="Stolzl Light"/>
              </w:rPr>
            </w:pPr>
          </w:p>
          <w:p w:rsidR="00FA15E6" w:rsidRPr="00FA15E6" w:rsidRDefault="00FA15E6" w:rsidP="00FA15E6">
            <w:pPr>
              <w:rPr>
                <w:rFonts w:ascii="Stolzl Light" w:hAnsi="Stolzl Light"/>
                <w:b/>
                <w:bCs/>
              </w:rPr>
            </w:pPr>
            <w:r w:rsidRPr="00FA15E6">
              <w:rPr>
                <w:rFonts w:ascii="Stolzl Light" w:hAnsi="Stolzl Light"/>
                <w:b/>
                <w:bCs/>
              </w:rPr>
              <w:t xml:space="preserve">Ensure that practices at lunchtime aren’t stigmatising: </w:t>
            </w:r>
            <w:r w:rsidRPr="00FA15E6">
              <w:rPr>
                <w:rFonts w:ascii="Stolzl Light" w:hAnsi="Stolzl Light"/>
              </w:rPr>
              <w:t>Ensure that pupils in receipt of free school meals are not ident</w:t>
            </w:r>
            <w:r w:rsidR="00600B94">
              <w:rPr>
                <w:rFonts w:ascii="Stolzl Light" w:hAnsi="Stolzl Light"/>
              </w:rPr>
              <w:t xml:space="preserve">ifiable to their peers and </w:t>
            </w:r>
            <w:r w:rsidRPr="00FA15E6">
              <w:rPr>
                <w:rFonts w:ascii="Stolzl Light" w:hAnsi="Stolzl Light"/>
              </w:rPr>
              <w:t xml:space="preserve">that families are aware attention will not be drawn to those taking a free school meal. Consider all aspects of the lunchtime experience to ensure payment processes and practices don’t unintentionally draw attention to those on free school meals, including when pupils are on trips. More information on food provision in school is available here: </w:t>
            </w:r>
            <w:r w:rsidRPr="00FA15E6">
              <w:rPr>
                <w:rFonts w:ascii="Calibri" w:hAnsi="Calibri" w:cs="Calibri"/>
                <w:b/>
                <w:bCs/>
              </w:rPr>
              <w:t> </w:t>
            </w:r>
            <w:hyperlink r:id="rId7" w:history="1">
              <w:r w:rsidRPr="00FA15E6">
                <w:rPr>
                  <w:rStyle w:val="Hyperlink"/>
                  <w:rFonts w:ascii="Stolzl Light" w:hAnsi="Stolzl Light"/>
                </w:rPr>
                <w:t>The Cost of the School Day in England: Pupils' Perspectives | CPAG</w:t>
              </w:r>
            </w:hyperlink>
          </w:p>
          <w:p w:rsidR="004967C5" w:rsidRPr="00FA15E6" w:rsidRDefault="004967C5" w:rsidP="00DC6256">
            <w:pPr>
              <w:rPr>
                <w:rFonts w:ascii="Stolzl Light" w:hAnsi="Stolzl Light"/>
              </w:rPr>
            </w:pPr>
          </w:p>
        </w:tc>
      </w:tr>
    </w:tbl>
    <w:p w:rsidR="004967C5" w:rsidRDefault="004967C5" w:rsidP="004967C5"/>
    <w:p w:rsidR="004967C5" w:rsidRDefault="004967C5" w:rsidP="004967C5">
      <w:pPr>
        <w:pStyle w:val="paragraph"/>
        <w:spacing w:before="0" w:beforeAutospacing="0" w:after="0" w:afterAutospacing="0"/>
        <w:textAlignment w:val="baseline"/>
        <w:rPr>
          <w:rFonts w:ascii="Segoe UI" w:hAnsi="Segoe UI" w:cs="Segoe UI"/>
          <w:sz w:val="18"/>
          <w:szCs w:val="18"/>
        </w:rPr>
      </w:pPr>
    </w:p>
    <w:p w:rsidR="004967C5" w:rsidRDefault="004967C5" w:rsidP="004967C5">
      <w:pPr>
        <w:pStyle w:val="paragraph"/>
        <w:spacing w:before="0" w:beforeAutospacing="0" w:after="0" w:afterAutospacing="0"/>
        <w:textAlignment w:val="baseline"/>
        <w:rPr>
          <w:rFonts w:ascii="Segoe UI" w:hAnsi="Segoe UI" w:cs="Segoe UI"/>
          <w:sz w:val="18"/>
          <w:szCs w:val="18"/>
        </w:rPr>
      </w:pPr>
    </w:p>
    <w:p w:rsidR="004967C5" w:rsidRDefault="004967C5" w:rsidP="004967C5"/>
    <w:p w:rsidR="00857EFF" w:rsidRDefault="00610171">
      <w:bookmarkStart w:id="0" w:name="_GoBack"/>
      <w:bookmarkEnd w:id="0"/>
    </w:p>
    <w:sectPr w:rsidR="00857E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lzl Light">
    <w:panose1 w:val="00000400000000000000"/>
    <w:charset w:val="00"/>
    <w:family w:val="modern"/>
    <w:notTrueType/>
    <w:pitch w:val="variable"/>
    <w:sig w:usb0="00000207" w:usb1="00000000" w:usb2="00000000" w:usb3="00000000" w:csb0="00000087" w:csb1="00000000"/>
  </w:font>
  <w:font w:name="Stolzl Bold">
    <w:panose1 w:val="00000800000000000000"/>
    <w:charset w:val="00"/>
    <w:family w:val="modern"/>
    <w:notTrueType/>
    <w:pitch w:val="variable"/>
    <w:sig w:usb0="00000207" w:usb1="00000000" w:usb2="00000000" w:usb3="00000000" w:csb0="0000008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C5"/>
    <w:rsid w:val="004967C5"/>
    <w:rsid w:val="00600B94"/>
    <w:rsid w:val="00610171"/>
    <w:rsid w:val="00672388"/>
    <w:rsid w:val="006B0BD9"/>
    <w:rsid w:val="009602A4"/>
    <w:rsid w:val="009C7F81"/>
    <w:rsid w:val="00FA1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5196"/>
  <w15:chartTrackingRefBased/>
  <w15:docId w15:val="{BB5983F4-5F1F-4801-AFB1-7C6BD9C1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67C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9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A15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24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pag.org.uk/policy-and-campaigns/briefing/cost-school-day-england-pupils-perspecti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pag.org.uk/policy-and-campaigns/briefing/cost-missing-lunchtime-briefing-free-school-meals-north-east" TargetMode="External"/><Relationship Id="rId5" Type="http://schemas.openxmlformats.org/officeDocument/2006/relationships/hyperlink" Target="https://cpag.org.uk/policy-and-campaigns/report/fixing-lunch-case-expanding-free-school-meal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Callard</dc:creator>
  <cp:keywords/>
  <dc:description/>
  <cp:lastModifiedBy>Ashley Callard</cp:lastModifiedBy>
  <cp:revision>5</cp:revision>
  <dcterms:created xsi:type="dcterms:W3CDTF">2022-10-04T11:01:00Z</dcterms:created>
  <dcterms:modified xsi:type="dcterms:W3CDTF">2022-11-09T14:51:00Z</dcterms:modified>
</cp:coreProperties>
</file>