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C5" w:rsidRPr="00222C22" w:rsidRDefault="007F12CB" w:rsidP="007F12CB">
      <w:pPr>
        <w:jc w:val="both"/>
        <w:rPr>
          <w:rFonts w:ascii="Stolzl Light" w:hAnsi="Stolzl Light"/>
        </w:rPr>
      </w:pPr>
      <w:r w:rsidRPr="00610171">
        <w:rPr>
          <w:noProof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10200C93" wp14:editId="388F109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101850" cy="1011871"/>
            <wp:effectExtent l="0" t="0" r="0" b="0"/>
            <wp:wrapTight wrapText="bothSides">
              <wp:wrapPolygon edited="0">
                <wp:start x="10180" y="0"/>
                <wp:lineTo x="5482" y="407"/>
                <wp:lineTo x="1762" y="3254"/>
                <wp:lineTo x="1175" y="8542"/>
                <wp:lineTo x="1175" y="10576"/>
                <wp:lineTo x="1762" y="15864"/>
                <wp:lineTo x="6460" y="19525"/>
                <wp:lineTo x="10180" y="20339"/>
                <wp:lineTo x="11159" y="20339"/>
                <wp:lineTo x="11159" y="19525"/>
                <wp:lineTo x="16053" y="16271"/>
                <wp:lineTo x="16053" y="13831"/>
                <wp:lineTo x="20360" y="13017"/>
                <wp:lineTo x="20947" y="8949"/>
                <wp:lineTo x="19577" y="6508"/>
                <wp:lineTo x="20164" y="4068"/>
                <wp:lineTo x="18990" y="3254"/>
                <wp:lineTo x="11159" y="0"/>
                <wp:lineTo x="10180" y="0"/>
              </wp:wrapPolygon>
            </wp:wrapTight>
            <wp:docPr id="2" name="Picture 2" descr="https://governorsforschools.org.uk/app/uploads/2022/06/Conference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vernorsforschools.org.uk/app/uploads/2022/06/Conference-Logo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01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002DE" w:rsidRPr="007F12CB">
        <w:rPr>
          <w:rFonts w:ascii="Stolzl Bold" w:hAnsi="Stolzl Bold"/>
          <w:b/>
          <w:sz w:val="36"/>
        </w:rPr>
        <w:t>Succession Planning</w:t>
      </w:r>
    </w:p>
    <w:p w:rsidR="004967C5" w:rsidRPr="00222C22" w:rsidRDefault="004967C5" w:rsidP="004967C5">
      <w:pPr>
        <w:rPr>
          <w:rFonts w:ascii="Stolzl Light" w:hAnsi="Stolzl Light"/>
        </w:rPr>
      </w:pPr>
      <w:r w:rsidRPr="00222C22">
        <w:rPr>
          <w:rFonts w:ascii="Stolzl Light" w:hAnsi="Stolzl Light"/>
        </w:rPr>
        <w:t>Please see below for a list of questions</w:t>
      </w:r>
      <w:r>
        <w:rPr>
          <w:rFonts w:ascii="Stolzl Light" w:hAnsi="Stolzl Light"/>
        </w:rPr>
        <w:t xml:space="preserve"> asked at </w:t>
      </w:r>
      <w:r w:rsidRPr="00222C22">
        <w:rPr>
          <w:rFonts w:ascii="Stolzl Light" w:hAnsi="Stolzl Light"/>
        </w:rPr>
        <w:t>the</w:t>
      </w:r>
      <w:r>
        <w:rPr>
          <w:rFonts w:ascii="Stolzl Light" w:hAnsi="Stolzl Light"/>
        </w:rPr>
        <w:t xml:space="preserve"> ‘</w:t>
      </w:r>
      <w:r w:rsidR="003002DE">
        <w:rPr>
          <w:rFonts w:ascii="Stolzl Light" w:hAnsi="Stolzl Light"/>
        </w:rPr>
        <w:t>succession planning</w:t>
      </w:r>
      <w:r w:rsidR="0013523D">
        <w:rPr>
          <w:rFonts w:ascii="Stolzl Light" w:hAnsi="Stolzl Light"/>
        </w:rPr>
        <w:t>’ session of the G</w:t>
      </w:r>
      <w:r>
        <w:rPr>
          <w:rFonts w:ascii="Stolzl Light" w:hAnsi="Stolzl Light"/>
        </w:rPr>
        <w:t>overnors for Schools</w:t>
      </w:r>
      <w:r w:rsidR="003002DE">
        <w:rPr>
          <w:rFonts w:ascii="Stolzl Light" w:hAnsi="Stolzl Light"/>
        </w:rPr>
        <w:t xml:space="preserve"> Conference 2022, on Wednesday, 28</w:t>
      </w:r>
      <w:r w:rsidRPr="00222C22">
        <w:rPr>
          <w:rFonts w:ascii="Stolzl Light" w:hAnsi="Stolzl Light"/>
          <w:vertAlign w:val="superscript"/>
        </w:rPr>
        <w:t>th</w:t>
      </w:r>
      <w:r w:rsidR="003002DE">
        <w:rPr>
          <w:rFonts w:ascii="Stolzl Light" w:hAnsi="Stolzl Light"/>
        </w:rPr>
        <w:t xml:space="preserve"> September from 10:15am – 10:45</w:t>
      </w:r>
      <w:r>
        <w:rPr>
          <w:rFonts w:ascii="Stolzl Light" w:hAnsi="Stolzl Light"/>
        </w:rPr>
        <w:t>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9"/>
        <w:gridCol w:w="4837"/>
      </w:tblGrid>
      <w:tr w:rsidR="003002DE" w:rsidTr="003002DE">
        <w:tc>
          <w:tcPr>
            <w:tcW w:w="4179" w:type="dxa"/>
          </w:tcPr>
          <w:p w:rsidR="003002DE" w:rsidRPr="003002DE" w:rsidRDefault="0013523D">
            <w:pPr>
              <w:rPr>
                <w:rFonts w:ascii="Stolzl Light" w:hAnsi="Stolzl Light"/>
              </w:rPr>
            </w:pPr>
            <w:r>
              <w:rPr>
                <w:rFonts w:ascii="Stolzl Light" w:hAnsi="Stolzl Light"/>
              </w:rPr>
              <w:t>I’ve o</w:t>
            </w:r>
            <w:r w:rsidR="003002DE" w:rsidRPr="003002DE">
              <w:rPr>
                <w:rFonts w:ascii="Stolzl Light" w:hAnsi="Stolzl Light"/>
              </w:rPr>
              <w:t>nly been C</w:t>
            </w:r>
            <w:r>
              <w:rPr>
                <w:rFonts w:ascii="Stolzl Light" w:hAnsi="Stolzl Light"/>
              </w:rPr>
              <w:t xml:space="preserve">hair </w:t>
            </w:r>
            <w:r w:rsidR="003002DE" w:rsidRPr="003002DE">
              <w:rPr>
                <w:rFonts w:ascii="Stolzl Light" w:hAnsi="Stolzl Light"/>
              </w:rPr>
              <w:t>o</w:t>
            </w:r>
            <w:r>
              <w:rPr>
                <w:rFonts w:ascii="Stolzl Light" w:hAnsi="Stolzl Light"/>
              </w:rPr>
              <w:t>f Governors</w:t>
            </w:r>
            <w:r w:rsidR="003002DE" w:rsidRPr="003002DE">
              <w:rPr>
                <w:rFonts w:ascii="Stolzl Light" w:hAnsi="Stolzl Light"/>
              </w:rPr>
              <w:t xml:space="preserve"> for just over a year - when should we start succession planning?</w:t>
            </w:r>
            <w:r w:rsidR="003002DE" w:rsidRPr="003002DE">
              <w:rPr>
                <w:rFonts w:ascii="Calibri" w:hAnsi="Calibri" w:cs="Calibri"/>
              </w:rPr>
              <w:t> </w:t>
            </w:r>
            <w:r>
              <w:rPr>
                <w:rFonts w:ascii="Stolzl Light" w:hAnsi="Stolzl Light"/>
              </w:rPr>
              <w:t xml:space="preserve"> It seems too soon to do now.</w:t>
            </w:r>
          </w:p>
          <w:p w:rsidR="003002DE" w:rsidRPr="003002DE" w:rsidRDefault="003002DE">
            <w:pPr>
              <w:rPr>
                <w:rFonts w:ascii="Stolzl Light" w:hAnsi="Stolzl Light"/>
              </w:rPr>
            </w:pPr>
          </w:p>
        </w:tc>
        <w:tc>
          <w:tcPr>
            <w:tcW w:w="4837" w:type="dxa"/>
            <w:hideMark/>
          </w:tcPr>
          <w:p w:rsidR="003002DE" w:rsidRPr="003002DE" w:rsidRDefault="0013523D" w:rsidP="0013523D">
            <w:pPr>
              <w:rPr>
                <w:rFonts w:ascii="Stolzl Light" w:hAnsi="Stolzl Light"/>
              </w:rPr>
            </w:pPr>
            <w:r>
              <w:rPr>
                <w:rFonts w:ascii="Stolzl Light" w:hAnsi="Stolzl Light"/>
              </w:rPr>
              <w:t>It’s never</w:t>
            </w:r>
            <w:r w:rsidR="003002DE" w:rsidRPr="003002DE">
              <w:rPr>
                <w:rFonts w:ascii="Stolzl Light" w:hAnsi="Stolzl Light"/>
              </w:rPr>
              <w:t xml:space="preserve"> too early to start planning for succession and making sure the issue is not overlooked by the board, even if you are intending to stay in office for a wh</w:t>
            </w:r>
            <w:r>
              <w:rPr>
                <w:rFonts w:ascii="Stolzl Light" w:hAnsi="Stolzl Light"/>
              </w:rPr>
              <w:t>ile</w:t>
            </w:r>
            <w:r w:rsidR="003002DE" w:rsidRPr="003002DE">
              <w:rPr>
                <w:rFonts w:ascii="Stolzl Light" w:hAnsi="Stolzl Light"/>
              </w:rPr>
              <w:t>. The point is that at some stage, say in no more than five years, it will be time to move on due to circumstances, or because it</w:t>
            </w:r>
            <w:r w:rsidR="003002DE" w:rsidRPr="003002DE">
              <w:rPr>
                <w:rFonts w:ascii="Stolzl Light" w:hAnsi="Stolzl Light" w:cs="Stolzl Light"/>
              </w:rPr>
              <w:t>’</w:t>
            </w:r>
            <w:r w:rsidR="003002DE" w:rsidRPr="003002DE">
              <w:rPr>
                <w:rFonts w:ascii="Stolzl Light" w:hAnsi="Stolzl Light"/>
              </w:rPr>
              <w:t>s time to refresh the leadership of the board.</w:t>
            </w:r>
            <w:r w:rsidR="003002DE" w:rsidRPr="003002DE">
              <w:rPr>
                <w:rFonts w:ascii="Calibri" w:hAnsi="Calibri" w:cs="Calibri"/>
              </w:rPr>
              <w:t> </w:t>
            </w:r>
            <w:r w:rsidR="003002DE" w:rsidRPr="003002DE">
              <w:rPr>
                <w:rFonts w:ascii="Stolzl Light" w:hAnsi="Stolzl Light"/>
              </w:rPr>
              <w:t xml:space="preserve"> That time will go quickly</w:t>
            </w:r>
            <w:r>
              <w:rPr>
                <w:rFonts w:ascii="Stolzl Light" w:hAnsi="Stolzl Light"/>
              </w:rPr>
              <w:t>,</w:t>
            </w:r>
            <w:r w:rsidR="003002DE" w:rsidRPr="003002DE">
              <w:rPr>
                <w:rFonts w:ascii="Stolzl Light" w:hAnsi="Stolzl Light"/>
              </w:rPr>
              <w:t xml:space="preserve"> so I recommend the board uses it to lay the foundations for your eventual successor, even if there is no need to identify who it will be yet. </w:t>
            </w:r>
            <w:r w:rsidR="003002DE" w:rsidRPr="003002DE">
              <w:rPr>
                <w:rFonts w:ascii="Calibri" w:hAnsi="Calibri" w:cs="Calibri"/>
              </w:rPr>
              <w:t>        </w:t>
            </w:r>
          </w:p>
        </w:tc>
      </w:tr>
      <w:tr w:rsidR="003002DE" w:rsidTr="003002DE">
        <w:tc>
          <w:tcPr>
            <w:tcW w:w="4179" w:type="dxa"/>
          </w:tcPr>
          <w:p w:rsidR="003002DE" w:rsidRPr="003002DE" w:rsidRDefault="003002DE">
            <w:pPr>
              <w:rPr>
                <w:rFonts w:ascii="Stolzl Light" w:hAnsi="Stolzl Light"/>
              </w:rPr>
            </w:pPr>
            <w:r w:rsidRPr="003002DE">
              <w:rPr>
                <w:rFonts w:ascii="Stolzl Light" w:hAnsi="Stolzl Light"/>
              </w:rPr>
              <w:t>Do you think it is important for a chair to put a concrete timescale on their departure?</w:t>
            </w:r>
          </w:p>
          <w:p w:rsidR="003002DE" w:rsidRPr="003002DE" w:rsidRDefault="003002DE">
            <w:pPr>
              <w:rPr>
                <w:rFonts w:ascii="Stolzl Light" w:hAnsi="Stolzl Light"/>
              </w:rPr>
            </w:pPr>
          </w:p>
        </w:tc>
        <w:tc>
          <w:tcPr>
            <w:tcW w:w="4837" w:type="dxa"/>
            <w:hideMark/>
          </w:tcPr>
          <w:p w:rsidR="003002DE" w:rsidRPr="003002DE" w:rsidRDefault="003002DE" w:rsidP="0013523D">
            <w:pPr>
              <w:rPr>
                <w:rFonts w:ascii="Stolzl Light" w:hAnsi="Stolzl Light"/>
              </w:rPr>
            </w:pPr>
            <w:r w:rsidRPr="003002DE">
              <w:rPr>
                <w:rFonts w:ascii="Stolzl Light" w:hAnsi="Stolzl Light"/>
              </w:rPr>
              <w:t>That depends on the circumstances.</w:t>
            </w:r>
            <w:r w:rsidRPr="003002DE">
              <w:rPr>
                <w:rFonts w:ascii="Calibri" w:hAnsi="Calibri" w:cs="Calibri"/>
              </w:rPr>
              <w:t> </w:t>
            </w:r>
            <w:r w:rsidRPr="003002DE">
              <w:rPr>
                <w:rFonts w:ascii="Stolzl Light" w:hAnsi="Stolzl Light"/>
              </w:rPr>
              <w:t xml:space="preserve"> NGA</w:t>
            </w:r>
            <w:r w:rsidRPr="003002DE">
              <w:rPr>
                <w:rFonts w:ascii="Stolzl Light" w:hAnsi="Stolzl Light" w:cs="Stolzl Light"/>
              </w:rPr>
              <w:t>’</w:t>
            </w:r>
            <w:r w:rsidRPr="003002DE">
              <w:rPr>
                <w:rFonts w:ascii="Stolzl Light" w:hAnsi="Stolzl Light"/>
              </w:rPr>
              <w:t>s recommendation that no one serves as chair in one school or trust for m</w:t>
            </w:r>
            <w:r w:rsidR="0013523D">
              <w:rPr>
                <w:rFonts w:ascii="Stolzl Light" w:hAnsi="Stolzl Light"/>
              </w:rPr>
              <w:t xml:space="preserve">ore than six consecutive years </w:t>
            </w:r>
            <w:r w:rsidRPr="003002DE">
              <w:rPr>
                <w:rFonts w:ascii="Stolzl Light" w:hAnsi="Stolzl Light"/>
              </w:rPr>
              <w:t>is not an arbitrary time limit. Rather</w:t>
            </w:r>
            <w:r w:rsidR="0013523D">
              <w:rPr>
                <w:rFonts w:ascii="Stolzl Light" w:hAnsi="Stolzl Light"/>
              </w:rPr>
              <w:t>,</w:t>
            </w:r>
            <w:r w:rsidRPr="003002DE">
              <w:rPr>
                <w:rFonts w:ascii="Stolzl Light" w:hAnsi="Stolzl Light"/>
              </w:rPr>
              <w:t xml:space="preserve"> it is good practice that boards should work towards.</w:t>
            </w:r>
            <w:r w:rsidRPr="003002DE">
              <w:rPr>
                <w:rFonts w:ascii="Calibri" w:hAnsi="Calibri" w:cs="Calibri"/>
              </w:rPr>
              <w:t> </w:t>
            </w:r>
            <w:r w:rsidRPr="003002DE">
              <w:rPr>
                <w:rFonts w:ascii="Stolzl Light" w:hAnsi="Stolzl Light"/>
              </w:rPr>
              <w:t xml:space="preserve"> I appreciate that in some circumstances it is righ</w:t>
            </w:r>
            <w:r w:rsidR="0013523D">
              <w:rPr>
                <w:rFonts w:ascii="Stolzl Light" w:hAnsi="Stolzl Light"/>
              </w:rPr>
              <w:t xml:space="preserve">t for a chair to stay on longer, as </w:t>
            </w:r>
            <w:r w:rsidRPr="003002DE">
              <w:rPr>
                <w:rFonts w:ascii="Stolzl Light" w:hAnsi="Stolzl Light"/>
              </w:rPr>
              <w:t xml:space="preserve">the risks </w:t>
            </w:r>
            <w:r w:rsidR="0013523D">
              <w:rPr>
                <w:rFonts w:ascii="Stolzl Light" w:hAnsi="Stolzl Light"/>
              </w:rPr>
              <w:t>associated with their departure are too high</w:t>
            </w:r>
            <w:r w:rsidRPr="003002DE">
              <w:rPr>
                <w:rFonts w:ascii="Stolzl Light" w:hAnsi="Stolzl Light"/>
              </w:rPr>
              <w:t>.</w:t>
            </w:r>
            <w:r w:rsidRPr="003002DE">
              <w:rPr>
                <w:rFonts w:ascii="Calibri" w:hAnsi="Calibri" w:cs="Calibri"/>
              </w:rPr>
              <w:t> </w:t>
            </w:r>
            <w:r w:rsidRPr="003002DE">
              <w:rPr>
                <w:rFonts w:ascii="Stolzl Light" w:hAnsi="Stolzl Light"/>
              </w:rPr>
              <w:t xml:space="preserve"> However, this often creates a barrier to building l</w:t>
            </w:r>
            <w:r w:rsidR="0013523D">
              <w:rPr>
                <w:rFonts w:ascii="Stolzl Light" w:hAnsi="Stolzl Light"/>
              </w:rPr>
              <w:t>eadership capacity on the board, as no-</w:t>
            </w:r>
            <w:r w:rsidRPr="003002DE">
              <w:rPr>
                <w:rFonts w:ascii="Stolzl Light" w:hAnsi="Stolzl Light"/>
              </w:rPr>
              <w:t xml:space="preserve">one </w:t>
            </w:r>
            <w:r w:rsidR="0013523D">
              <w:rPr>
                <w:rFonts w:ascii="Stolzl Light" w:hAnsi="Stolzl Light"/>
              </w:rPr>
              <w:t>can imagine</w:t>
            </w:r>
            <w:r w:rsidRPr="003002DE">
              <w:rPr>
                <w:rFonts w:ascii="Stolzl Light" w:hAnsi="Stolzl Light"/>
              </w:rPr>
              <w:t xml:space="preserve"> the chair ever departing.</w:t>
            </w:r>
            <w:r w:rsidRPr="003002DE">
              <w:rPr>
                <w:rFonts w:ascii="Calibri" w:hAnsi="Calibri" w:cs="Calibri"/>
              </w:rPr>
              <w:t> </w:t>
            </w:r>
            <w:r w:rsidRPr="003002DE">
              <w:rPr>
                <w:rFonts w:ascii="Stolzl Light" w:hAnsi="Stolzl Light"/>
              </w:rPr>
              <w:t xml:space="preserve"> So, it</w:t>
            </w:r>
            <w:r w:rsidRPr="003002DE">
              <w:rPr>
                <w:rFonts w:ascii="Stolzl Light" w:hAnsi="Stolzl Light" w:cs="Stolzl Light"/>
              </w:rPr>
              <w:t>’</w:t>
            </w:r>
            <w:r w:rsidRPr="003002DE">
              <w:rPr>
                <w:rFonts w:ascii="Stolzl Light" w:hAnsi="Stolzl Light"/>
              </w:rPr>
              <w:t xml:space="preserve">s important that the chair has a timescale for departure and is transparent about it, even if it is not set in stone. </w:t>
            </w:r>
            <w:r w:rsidRPr="003002DE">
              <w:rPr>
                <w:rFonts w:ascii="Calibri" w:hAnsi="Calibri" w:cs="Calibri"/>
              </w:rPr>
              <w:t>                </w:t>
            </w:r>
          </w:p>
        </w:tc>
      </w:tr>
      <w:tr w:rsidR="003002DE" w:rsidTr="003002DE">
        <w:tc>
          <w:tcPr>
            <w:tcW w:w="4179" w:type="dxa"/>
          </w:tcPr>
          <w:p w:rsidR="003002DE" w:rsidRPr="003002DE" w:rsidRDefault="003002DE">
            <w:pPr>
              <w:rPr>
                <w:rFonts w:ascii="Stolzl Light" w:hAnsi="Stolzl Light"/>
              </w:rPr>
            </w:pPr>
            <w:r w:rsidRPr="003002DE">
              <w:rPr>
                <w:rFonts w:ascii="Stolzl Light" w:hAnsi="Stolzl Light"/>
              </w:rPr>
              <w:t>Is it good enough to just have a plan in my head?</w:t>
            </w:r>
          </w:p>
          <w:p w:rsidR="003002DE" w:rsidRPr="003002DE" w:rsidRDefault="003002DE">
            <w:pPr>
              <w:rPr>
                <w:rFonts w:ascii="Stolzl Light" w:hAnsi="Stolzl Light"/>
              </w:rPr>
            </w:pPr>
          </w:p>
        </w:tc>
        <w:tc>
          <w:tcPr>
            <w:tcW w:w="4837" w:type="dxa"/>
            <w:hideMark/>
          </w:tcPr>
          <w:p w:rsidR="003002DE" w:rsidRPr="003002DE" w:rsidRDefault="003002DE" w:rsidP="0013523D">
            <w:pPr>
              <w:rPr>
                <w:rFonts w:ascii="Stolzl Light" w:hAnsi="Stolzl Light"/>
              </w:rPr>
            </w:pPr>
            <w:r w:rsidRPr="003002DE">
              <w:rPr>
                <w:rFonts w:ascii="Stolzl Light" w:hAnsi="Stolzl Light"/>
              </w:rPr>
              <w:t>Not real</w:t>
            </w:r>
            <w:r w:rsidR="0013523D">
              <w:rPr>
                <w:rFonts w:ascii="Stolzl Light" w:hAnsi="Stolzl Light"/>
              </w:rPr>
              <w:t>ly. It’s b</w:t>
            </w:r>
            <w:r w:rsidRPr="003002DE">
              <w:rPr>
                <w:rFonts w:ascii="Stolzl Light" w:hAnsi="Stolzl Light"/>
              </w:rPr>
              <w:t xml:space="preserve">etter to bring these plans into the open so that everyone is clear about </w:t>
            </w:r>
            <w:r w:rsidR="0013523D">
              <w:rPr>
                <w:rFonts w:ascii="Stolzl Light" w:hAnsi="Stolzl Light"/>
              </w:rPr>
              <w:t>potential next steps</w:t>
            </w:r>
            <w:r w:rsidRPr="003002DE">
              <w:rPr>
                <w:rFonts w:ascii="Stolzl Light" w:hAnsi="Stolzl Light"/>
              </w:rPr>
              <w:t xml:space="preserve"> and has the opportunity to provide their </w:t>
            </w:r>
            <w:r w:rsidR="0013523D">
              <w:rPr>
                <w:rFonts w:ascii="Stolzl Light" w:hAnsi="Stolzl Light"/>
              </w:rPr>
              <w:t>opinions.</w:t>
            </w:r>
            <w:r w:rsidRPr="003002DE">
              <w:rPr>
                <w:rFonts w:ascii="Stolzl Light" w:hAnsi="Stolzl Light"/>
              </w:rPr>
              <w:t xml:space="preserve"> </w:t>
            </w:r>
            <w:r w:rsidR="0013523D">
              <w:rPr>
                <w:rFonts w:ascii="Stolzl Light" w:hAnsi="Stolzl Light"/>
              </w:rPr>
              <w:t>This step is particularly important for</w:t>
            </w:r>
            <w:r w:rsidRPr="003002DE">
              <w:rPr>
                <w:rFonts w:ascii="Stolzl Light" w:hAnsi="Stolzl Light"/>
              </w:rPr>
              <w:t xml:space="preserve"> those you view as the most likely successors.</w:t>
            </w:r>
          </w:p>
        </w:tc>
      </w:tr>
      <w:tr w:rsidR="003002DE" w:rsidTr="003002DE">
        <w:tc>
          <w:tcPr>
            <w:tcW w:w="4179" w:type="dxa"/>
          </w:tcPr>
          <w:p w:rsidR="003002DE" w:rsidRPr="003002DE" w:rsidRDefault="003002DE">
            <w:pPr>
              <w:rPr>
                <w:rFonts w:ascii="Stolzl Light" w:hAnsi="Stolzl Light"/>
              </w:rPr>
            </w:pPr>
            <w:r w:rsidRPr="003002DE">
              <w:rPr>
                <w:rFonts w:ascii="Stolzl Light" w:hAnsi="Stolzl Light"/>
              </w:rPr>
              <w:t xml:space="preserve">Can discussions around succession take place outside of formal board meetings </w:t>
            </w:r>
            <w:r w:rsidR="0013523D">
              <w:rPr>
                <w:rFonts w:ascii="Stolzl Light" w:hAnsi="Stolzl Light"/>
              </w:rPr>
              <w:t>(</w:t>
            </w:r>
            <w:r w:rsidRPr="003002DE">
              <w:rPr>
                <w:rFonts w:ascii="Stolzl Light" w:hAnsi="Stolzl Light"/>
              </w:rPr>
              <w:t>which are extremely tight for time</w:t>
            </w:r>
            <w:r w:rsidR="0013523D">
              <w:rPr>
                <w:rFonts w:ascii="Stolzl Light" w:hAnsi="Stolzl Light"/>
              </w:rPr>
              <w:t>)?</w:t>
            </w:r>
          </w:p>
          <w:p w:rsidR="003002DE" w:rsidRPr="003002DE" w:rsidRDefault="003002DE">
            <w:pPr>
              <w:rPr>
                <w:rFonts w:ascii="Stolzl Light" w:hAnsi="Stolzl Light"/>
              </w:rPr>
            </w:pPr>
          </w:p>
        </w:tc>
        <w:tc>
          <w:tcPr>
            <w:tcW w:w="4837" w:type="dxa"/>
            <w:hideMark/>
          </w:tcPr>
          <w:p w:rsidR="003002DE" w:rsidRPr="003002DE" w:rsidRDefault="003002DE" w:rsidP="0013523D">
            <w:pPr>
              <w:rPr>
                <w:rFonts w:ascii="Stolzl Light" w:hAnsi="Stolzl Light"/>
              </w:rPr>
            </w:pPr>
            <w:r w:rsidRPr="003002DE">
              <w:rPr>
                <w:rFonts w:ascii="Stolzl Light" w:hAnsi="Stolzl Light"/>
              </w:rPr>
              <w:t>Yes</w:t>
            </w:r>
            <w:r w:rsidR="0013523D">
              <w:rPr>
                <w:rFonts w:ascii="Stolzl Light" w:hAnsi="Stolzl Light"/>
              </w:rPr>
              <w:t>,</w:t>
            </w:r>
            <w:r w:rsidRPr="003002DE">
              <w:rPr>
                <w:rFonts w:ascii="Stolzl Light" w:hAnsi="Stolzl Light"/>
              </w:rPr>
              <w:t xml:space="preserve"> of course. In fact, I would encourage the board </w:t>
            </w:r>
            <w:r w:rsidR="0013523D">
              <w:rPr>
                <w:rFonts w:ascii="Stolzl Light" w:hAnsi="Stolzl Light"/>
              </w:rPr>
              <w:t>to stay</w:t>
            </w:r>
            <w:r w:rsidRPr="003002DE">
              <w:rPr>
                <w:rFonts w:ascii="Stolzl Light" w:hAnsi="Stolzl Light"/>
              </w:rPr>
              <w:t xml:space="preserve"> in touch with each other between meetings unconstrained by a formal agenda, building professional rapport and discussing how they work together, </w:t>
            </w:r>
            <w:r w:rsidRPr="003002DE">
              <w:rPr>
                <w:rFonts w:ascii="Stolzl Light" w:hAnsi="Stolzl Light"/>
              </w:rPr>
              <w:lastRenderedPageBreak/>
              <w:t>both now and in the future. It helps to solidify the team.</w:t>
            </w:r>
          </w:p>
        </w:tc>
      </w:tr>
      <w:tr w:rsidR="003002DE" w:rsidTr="003002DE">
        <w:tc>
          <w:tcPr>
            <w:tcW w:w="4179" w:type="dxa"/>
          </w:tcPr>
          <w:p w:rsidR="003002DE" w:rsidRPr="003002DE" w:rsidRDefault="003002DE">
            <w:pPr>
              <w:rPr>
                <w:rFonts w:ascii="Stolzl Light" w:hAnsi="Stolzl Light"/>
              </w:rPr>
            </w:pPr>
            <w:r w:rsidRPr="003002DE">
              <w:rPr>
                <w:rFonts w:ascii="Stolzl Light" w:hAnsi="Stolzl Light"/>
              </w:rPr>
              <w:lastRenderedPageBreak/>
              <w:t>What are your views on co-chairing? I am going to start co-chairing with our existing chair for 2 terms before she retires.</w:t>
            </w:r>
          </w:p>
          <w:p w:rsidR="003002DE" w:rsidRPr="003002DE" w:rsidRDefault="003002DE">
            <w:pPr>
              <w:rPr>
                <w:rFonts w:ascii="Stolzl Light" w:hAnsi="Stolzl Light"/>
              </w:rPr>
            </w:pPr>
          </w:p>
        </w:tc>
        <w:tc>
          <w:tcPr>
            <w:tcW w:w="4837" w:type="dxa"/>
          </w:tcPr>
          <w:p w:rsidR="003002DE" w:rsidRPr="003002DE" w:rsidRDefault="003002DE">
            <w:pPr>
              <w:pStyle w:val="NormalWeb"/>
              <w:shd w:val="clear" w:color="auto" w:fill="FFFFFF"/>
              <w:spacing w:before="0" w:beforeAutospacing="0" w:after="450" w:afterAutospacing="0"/>
              <w:rPr>
                <w:rFonts w:ascii="Stolzl Light" w:hAnsi="Stolzl Light" w:cs="Calibri"/>
                <w:sz w:val="22"/>
                <w:szCs w:val="22"/>
              </w:rPr>
            </w:pPr>
            <w:r w:rsidRPr="003002DE">
              <w:rPr>
                <w:rFonts w:ascii="Stolzl Light" w:hAnsi="Stolzl Light" w:cs="Calibri"/>
                <w:color w:val="000000"/>
                <w:sz w:val="22"/>
                <w:szCs w:val="22"/>
              </w:rPr>
              <w:t>NGA definitely support</w:t>
            </w:r>
            <w:r w:rsidR="0013523D">
              <w:rPr>
                <w:rFonts w:ascii="Stolzl Light" w:hAnsi="Stolzl Light" w:cs="Calibri"/>
                <w:color w:val="000000"/>
                <w:sz w:val="22"/>
                <w:szCs w:val="22"/>
              </w:rPr>
              <w:t>s</w:t>
            </w:r>
            <w:r w:rsidRPr="003002DE">
              <w:rPr>
                <w:rFonts w:ascii="Stolzl Light" w:hAnsi="Stolzl Light" w:cs="Calibri"/>
                <w:color w:val="000000"/>
                <w:sz w:val="22"/>
                <w:szCs w:val="22"/>
              </w:rPr>
              <w:t xml:space="preserve"> this concept. Sharing the role of chair can be a useful option, especially where individuals have the necessary skills but </w:t>
            </w:r>
            <w:r w:rsidR="0013523D">
              <w:rPr>
                <w:rFonts w:ascii="Stolzl Light" w:hAnsi="Stolzl Light" w:cs="Calibri"/>
                <w:color w:val="000000"/>
                <w:sz w:val="22"/>
                <w:szCs w:val="22"/>
              </w:rPr>
              <w:t>lack</w:t>
            </w:r>
            <w:r w:rsidRPr="003002DE">
              <w:rPr>
                <w:rFonts w:ascii="Stolzl Light" w:hAnsi="Stolzl Light" w:cs="Calibri"/>
                <w:color w:val="000000"/>
                <w:sz w:val="22"/>
                <w:szCs w:val="22"/>
              </w:rPr>
              <w:t xml:space="preserve"> time. Not only can this make the role </w:t>
            </w:r>
            <w:r w:rsidR="0013523D">
              <w:rPr>
                <w:rFonts w:ascii="Stolzl Light" w:hAnsi="Stolzl Light" w:cs="Calibri"/>
                <w:color w:val="000000"/>
                <w:sz w:val="22"/>
                <w:szCs w:val="22"/>
              </w:rPr>
              <w:t>workable</w:t>
            </w:r>
            <w:r w:rsidRPr="003002DE">
              <w:rPr>
                <w:rFonts w:ascii="Stolzl Light" w:hAnsi="Stolzl Light" w:cs="Calibri"/>
                <w:color w:val="000000"/>
                <w:sz w:val="22"/>
                <w:szCs w:val="22"/>
              </w:rPr>
              <w:t xml:space="preserve"> for people who would otherwise not be able to find the time, it can also strengthen the leadership of the board by </w:t>
            </w:r>
            <w:r w:rsidR="0013523D">
              <w:rPr>
                <w:rFonts w:ascii="Stolzl Light" w:hAnsi="Stolzl Light" w:cs="Calibri"/>
                <w:color w:val="000000"/>
                <w:sz w:val="22"/>
                <w:szCs w:val="22"/>
              </w:rPr>
              <w:t>adding</w:t>
            </w:r>
            <w:r w:rsidRPr="003002DE">
              <w:rPr>
                <w:rFonts w:ascii="Stolzl Light" w:hAnsi="Stolzl Light" w:cs="Calibri"/>
                <w:color w:val="000000"/>
                <w:sz w:val="22"/>
                <w:szCs w:val="22"/>
              </w:rPr>
              <w:t xml:space="preserve"> another pers</w:t>
            </w:r>
            <w:r w:rsidR="0013523D">
              <w:rPr>
                <w:rFonts w:ascii="Stolzl Light" w:hAnsi="Stolzl Light" w:cs="Calibri"/>
                <w:color w:val="000000"/>
                <w:sz w:val="22"/>
                <w:szCs w:val="22"/>
              </w:rPr>
              <w:t>on’s valued opinions</w:t>
            </w:r>
            <w:r w:rsidRPr="003002DE">
              <w:rPr>
                <w:rFonts w:ascii="Stolzl Light" w:hAnsi="Stolzl Light" w:cs="Calibri"/>
                <w:color w:val="000000"/>
                <w:sz w:val="22"/>
                <w:szCs w:val="22"/>
              </w:rPr>
              <w:t>.</w:t>
            </w:r>
            <w:r w:rsidR="0013523D">
              <w:rPr>
                <w:rFonts w:ascii="Stolzl Light" w:hAnsi="Stolzl Light" w:cs="Calibri"/>
                <w:color w:val="000000"/>
                <w:sz w:val="22"/>
                <w:szCs w:val="22"/>
              </w:rPr>
              <w:t xml:space="preserve"> </w:t>
            </w:r>
            <w:r w:rsidRPr="003002DE">
              <w:rPr>
                <w:rFonts w:ascii="Stolzl Light" w:hAnsi="Stolzl Light" w:cs="Calibri"/>
                <w:color w:val="000000"/>
                <w:sz w:val="22"/>
                <w:szCs w:val="22"/>
              </w:rPr>
              <w:t>In order for co-chairing to work, there needs to be a clear understanding of what is required from both co-chairs. As with any job-share, both parties need to decide how the work will be divided and ensure that that the division is fair.</w:t>
            </w:r>
          </w:p>
          <w:p w:rsidR="003002DE" w:rsidRPr="003002DE" w:rsidRDefault="003002DE" w:rsidP="003002DE">
            <w:pPr>
              <w:pStyle w:val="NormalWeb"/>
              <w:shd w:val="clear" w:color="auto" w:fill="FFFFFF"/>
              <w:spacing w:before="0" w:beforeAutospacing="0" w:after="450" w:afterAutospacing="0"/>
              <w:rPr>
                <w:rFonts w:ascii="Stolzl Light" w:hAnsi="Stolzl Light" w:cs="Calibri"/>
                <w:sz w:val="22"/>
                <w:szCs w:val="22"/>
              </w:rPr>
            </w:pPr>
            <w:r w:rsidRPr="003002DE">
              <w:rPr>
                <w:rFonts w:ascii="Stolzl Light" w:hAnsi="Stolzl Light" w:cs="Calibri"/>
                <w:color w:val="000000"/>
                <w:sz w:val="22"/>
                <w:szCs w:val="22"/>
              </w:rPr>
              <w:t xml:space="preserve">NGA has produced some short </w:t>
            </w:r>
            <w:hyperlink r:id="rId5" w:history="1">
              <w:r w:rsidRPr="003002DE">
                <w:rPr>
                  <w:rStyle w:val="Hyperlink"/>
                  <w:rFonts w:ascii="Stolzl Light" w:hAnsi="Stolzl Light" w:cs="Calibri"/>
                  <w:sz w:val="22"/>
                  <w:szCs w:val="22"/>
                </w:rPr>
                <w:t>guidance</w:t>
              </w:r>
            </w:hyperlink>
            <w:r w:rsidRPr="003002DE">
              <w:rPr>
                <w:rFonts w:ascii="Stolzl Light" w:hAnsi="Stolzl Light" w:cs="Calibri"/>
                <w:color w:val="000000"/>
                <w:sz w:val="22"/>
                <w:szCs w:val="22"/>
              </w:rPr>
              <w:t xml:space="preserve"> with pointers on how to make a co-chairing arrangement work well. </w:t>
            </w:r>
          </w:p>
        </w:tc>
      </w:tr>
    </w:tbl>
    <w:p w:rsidR="004967C5" w:rsidRDefault="004967C5" w:rsidP="004967C5"/>
    <w:p w:rsidR="004967C5" w:rsidRDefault="004967C5" w:rsidP="004967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967C5" w:rsidRDefault="004967C5" w:rsidP="004967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967C5" w:rsidRDefault="004967C5" w:rsidP="004967C5"/>
    <w:p w:rsidR="00857EFF" w:rsidRDefault="007F12CB"/>
    <w:sectPr w:rsidR="00857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lzl Light">
    <w:panose1 w:val="000004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Stolzl Bold">
    <w:panose1 w:val="000008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C5"/>
    <w:rsid w:val="0013523D"/>
    <w:rsid w:val="003002DE"/>
    <w:rsid w:val="004967C5"/>
    <w:rsid w:val="00672388"/>
    <w:rsid w:val="006B0BD9"/>
    <w:rsid w:val="007F12CB"/>
    <w:rsid w:val="00813EBA"/>
    <w:rsid w:val="0096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073E"/>
  <w15:chartTrackingRefBased/>
  <w15:docId w15:val="{BB5983F4-5F1F-4801-AFB1-7C6BD9C1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9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02D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002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ga.org.uk/Knowledge-Centre/Governance-structure-roles-and-responsibilities/Roles-and-responsibilities/Chairing/Sharing-the-chair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Callard</dc:creator>
  <cp:keywords/>
  <dc:description/>
  <cp:lastModifiedBy>Ashley Callard</cp:lastModifiedBy>
  <cp:revision>5</cp:revision>
  <dcterms:created xsi:type="dcterms:W3CDTF">2022-10-03T07:52:00Z</dcterms:created>
  <dcterms:modified xsi:type="dcterms:W3CDTF">2022-11-09T14:56:00Z</dcterms:modified>
</cp:coreProperties>
</file>